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畜牧中心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0.2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畜牧中心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%，决算数</w:t>
      </w:r>
      <w:r>
        <w:rPr>
          <w:rFonts w:hint="eastAsia" w:ascii="仿宋_GB2312" w:hAnsi="仿宋"/>
          <w:szCs w:val="32"/>
          <w:lang w:eastAsia="zh-CN"/>
        </w:rPr>
        <w:t>等于</w:t>
      </w:r>
      <w:r>
        <w:rPr>
          <w:rFonts w:hint="eastAsia" w:ascii="仿宋_GB2312" w:hAnsi="仿宋"/>
          <w:szCs w:val="32"/>
        </w:rPr>
        <w:t>预算数。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畜牧中心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保持一致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畜牧中心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保持一致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畜牧中心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批次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15</w:t>
      </w:r>
      <w:r>
        <w:rPr>
          <w:rFonts w:hint="eastAsia" w:ascii="仿宋_GB2312" w:hAnsi="仿宋"/>
          <w:szCs w:val="32"/>
        </w:rPr>
        <w:t>人次。主要是用于</w:t>
      </w:r>
      <w:r>
        <w:rPr>
          <w:rFonts w:hint="eastAsia" w:ascii="仿宋_GB2312" w:hAnsi="仿宋"/>
          <w:szCs w:val="32"/>
          <w:lang w:eastAsia="zh-CN"/>
        </w:rPr>
        <w:t>接待省疫控中心开展省病原微生物实验室生物安全现场检查工作</w:t>
      </w:r>
      <w:bookmarkStart w:id="0" w:name="_GoBack"/>
      <w:bookmarkEnd w:id="0"/>
      <w:r>
        <w:rPr>
          <w:rFonts w:hint="eastAsia" w:ascii="仿宋_GB2312" w:hAnsi="仿宋"/>
          <w:szCs w:val="32"/>
        </w:rPr>
        <w:t>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，保持一致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保持一致。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保持一致。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MmU5M2JiOTg0YmU1MzhkNTE1ZDUwMjM4YjAyZT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25E6330"/>
    <w:rsid w:val="18242EF9"/>
    <w:rsid w:val="19B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749</Characters>
  <Lines>8</Lines>
  <Paragraphs>2</Paragraphs>
  <TotalTime>45</TotalTime>
  <ScaleCrop>false</ScaleCrop>
  <LinksUpToDate>false</LinksUpToDate>
  <CharactersWithSpaces>831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2022-07-26T02:04:35Z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