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44"/>
          <w:szCs w:val="44"/>
        </w:rPr>
      </w:pPr>
      <w:bookmarkStart w:id="156" w:name="_GoBack"/>
      <w:r>
        <w:rPr>
          <w:rFonts w:ascii="Times New Roman" w:hAnsi="Times New Roman" w:eastAsia="方正小标宋简体"/>
          <w:sz w:val="44"/>
          <w:szCs w:val="44"/>
        </w:rPr>
        <w:t>安徽省农业农村厅关于印发安徽省养殖水域</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滩涂规划（2023－2030年）的通知</w:t>
      </w:r>
    </w:p>
    <w:bookmarkEnd w:id="156"/>
    <w:p>
      <w:pPr>
        <w:tabs>
          <w:tab w:val="left" w:pos="8690"/>
        </w:tabs>
        <w:adjustRightInd w:val="0"/>
        <w:snapToGrid w:val="0"/>
        <w:spacing w:line="580" w:lineRule="exact"/>
        <w:ind w:left="210" w:leftChars="100" w:right="210" w:rightChars="100"/>
        <w:jc w:val="center"/>
        <w:rPr>
          <w:rFonts w:ascii="Times New Roman" w:hAnsi="Times New Roman" w:eastAsia="仿宋_GB2312"/>
          <w:sz w:val="32"/>
          <w:szCs w:val="32"/>
        </w:rPr>
      </w:pPr>
      <w:r>
        <w:rPr>
          <w:rFonts w:ascii="Times New Roman" w:hAnsi="Times New Roman" w:eastAsia="仿宋_GB2312"/>
          <w:sz w:val="32"/>
          <w:szCs w:val="32"/>
        </w:rPr>
        <w:t>皖农渔〔2023〕58号</w:t>
      </w:r>
      <w:permStart w:id="0" w:edGrp="everyone"/>
      <w:permEnd w:id="0"/>
    </w:p>
    <w:p>
      <w:pPr>
        <w:tabs>
          <w:tab w:val="left" w:pos="8690"/>
        </w:tabs>
        <w:adjustRightInd w:val="0"/>
        <w:snapToGrid w:val="0"/>
        <w:spacing w:line="580" w:lineRule="exact"/>
        <w:ind w:left="210" w:leftChars="100" w:right="210" w:rightChars="100"/>
        <w:jc w:val="center"/>
        <w:rPr>
          <w:rFonts w:ascii="Times New Roman" w:hAnsi="Times New Roman" w:eastAsia="仿宋_GB2312"/>
          <w:sz w:val="32"/>
          <w:szCs w:val="32"/>
        </w:rPr>
      </w:pPr>
    </w:p>
    <w:p>
      <w:pPr>
        <w:adjustRightInd w:val="0"/>
        <w:snapToGrid w:val="0"/>
        <w:spacing w:line="600" w:lineRule="exac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各市人民政府，省政府各有关部门、直属机构：</w:t>
      </w:r>
    </w:p>
    <w:p>
      <w:pPr>
        <w:adjustRightInd w:val="0"/>
        <w:snapToGrid w:val="0"/>
        <w:spacing w:line="600" w:lineRule="exact"/>
        <w:ind w:firstLine="640" w:firstLineChars="200"/>
        <w:rPr>
          <w:rFonts w:ascii="Times New Roman" w:hAnsi="Times New Roman"/>
          <w:snapToGrid w:val="0"/>
          <w:kern w:val="0"/>
          <w:sz w:val="32"/>
          <w:szCs w:val="32"/>
        </w:rPr>
      </w:pPr>
      <w:r>
        <w:rPr>
          <w:rFonts w:ascii="Times New Roman" w:hAnsi="Times New Roman" w:eastAsia="仿宋_GB2312"/>
          <w:snapToGrid w:val="0"/>
          <w:kern w:val="0"/>
          <w:sz w:val="32"/>
          <w:szCs w:val="32"/>
        </w:rPr>
        <w:t>《安徽省养殖水域滩涂规划（2023－2030年）》已经省人民政府同意，现印发给你们，请结合实际认真贯彻落实。</w:t>
      </w:r>
    </w:p>
    <w:p>
      <w:pPr>
        <w:adjustRightInd w:val="0"/>
        <w:snapToGrid w:val="0"/>
        <w:spacing w:line="600" w:lineRule="exact"/>
        <w:ind w:firstLine="200"/>
        <w:rPr>
          <w:rFonts w:ascii="Times New Roman" w:hAnsi="Times New Roman"/>
          <w:snapToGrid w:val="0"/>
          <w:kern w:val="0"/>
          <w:sz w:val="32"/>
          <w:szCs w:val="32"/>
        </w:rPr>
      </w:pPr>
    </w:p>
    <w:p>
      <w:pPr>
        <w:adjustRightInd w:val="0"/>
        <w:snapToGrid w:val="0"/>
        <w:spacing w:line="600" w:lineRule="exact"/>
        <w:ind w:firstLine="200"/>
        <w:rPr>
          <w:rFonts w:ascii="Times New Roman" w:hAnsi="Times New Roman"/>
          <w:snapToGrid w:val="0"/>
          <w:kern w:val="0"/>
          <w:sz w:val="32"/>
          <w:szCs w:val="32"/>
        </w:rPr>
      </w:pPr>
    </w:p>
    <w:p>
      <w:pPr>
        <w:adjustRightInd w:val="0"/>
        <w:snapToGrid w:val="0"/>
        <w:spacing w:line="600" w:lineRule="exact"/>
        <w:ind w:firstLine="3840" w:firstLineChars="1200"/>
        <w:jc w:val="center"/>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安徽省农业农村厅</w:t>
      </w:r>
    </w:p>
    <w:p>
      <w:pPr>
        <w:adjustRightInd w:val="0"/>
        <w:snapToGrid w:val="0"/>
        <w:spacing w:line="600" w:lineRule="exact"/>
        <w:ind w:firstLine="3840" w:firstLineChars="1200"/>
        <w:jc w:val="center"/>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2023年6月7日</w:t>
      </w: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spacing w:line="1000" w:lineRule="exact"/>
        <w:jc w:val="center"/>
        <w:rPr>
          <w:rFonts w:ascii="Times New Roman" w:hAnsi="Times New Roman" w:eastAsia="方正小标宋简体"/>
          <w:sz w:val="56"/>
          <w:szCs w:val="56"/>
        </w:rPr>
      </w:pPr>
    </w:p>
    <w:p>
      <w:pPr>
        <w:rPr>
          <w:rFonts w:ascii="Times New Roman" w:hAnsi="Times New Roman" w:eastAsia="方正小标宋简体"/>
          <w:sz w:val="56"/>
          <w:szCs w:val="56"/>
        </w:rPr>
      </w:pPr>
      <w:r>
        <w:rPr>
          <w:rFonts w:ascii="Times New Roman" w:hAnsi="Times New Roman" w:eastAsia="方正小标宋简体"/>
          <w:sz w:val="56"/>
          <w:szCs w:val="56"/>
        </w:rPr>
        <w:br w:type="page"/>
      </w:r>
    </w:p>
    <w:p>
      <w:pPr>
        <w:spacing w:line="1000" w:lineRule="exact"/>
        <w:jc w:val="center"/>
        <w:rPr>
          <w:rFonts w:ascii="Times New Roman" w:hAnsi="Times New Roman" w:eastAsia="方正小标宋简体"/>
          <w:sz w:val="56"/>
          <w:szCs w:val="56"/>
        </w:rPr>
      </w:pPr>
      <w:bookmarkStart w:id="0" w:name="_Toc127970206"/>
      <w:bookmarkStart w:id="1" w:name="_Toc127970005"/>
      <w:bookmarkStart w:id="2" w:name="_Toc1584868127"/>
      <w:bookmarkStart w:id="3" w:name="_Toc118280300"/>
      <w:bookmarkStart w:id="4" w:name="_Toc130194228"/>
      <w:bookmarkStart w:id="5" w:name="_Toc2070568512"/>
      <w:bookmarkStart w:id="6" w:name="_Toc118274464"/>
      <w:bookmarkStart w:id="7" w:name="_Toc922671823"/>
      <w:bookmarkStart w:id="8" w:name="_Toc14720"/>
      <w:bookmarkStart w:id="9" w:name="_Toc130907252"/>
      <w:r>
        <w:rPr>
          <w:rFonts w:ascii="Times New Roman" w:hAnsi="Times New Roman" w:eastAsia="方正小标宋简体"/>
          <w:sz w:val="56"/>
          <w:szCs w:val="56"/>
        </w:rPr>
        <w:t>安徽省养殖水域滩涂规划</w:t>
      </w:r>
      <w:bookmarkEnd w:id="0"/>
      <w:bookmarkEnd w:id="1"/>
      <w:bookmarkEnd w:id="2"/>
      <w:bookmarkEnd w:id="3"/>
      <w:bookmarkEnd w:id="4"/>
      <w:bookmarkEnd w:id="5"/>
      <w:bookmarkEnd w:id="6"/>
      <w:bookmarkEnd w:id="7"/>
      <w:bookmarkEnd w:id="8"/>
      <w:bookmarkEnd w:id="9"/>
    </w:p>
    <w:p>
      <w:pPr>
        <w:spacing w:line="1000" w:lineRule="exact"/>
        <w:jc w:val="center"/>
        <w:rPr>
          <w:rFonts w:ascii="Times New Roman" w:hAnsi="Times New Roman" w:eastAsia="方正小标宋简体"/>
          <w:sz w:val="56"/>
          <w:szCs w:val="56"/>
        </w:rPr>
      </w:pPr>
      <w:bookmarkStart w:id="10" w:name="_Toc409518750"/>
      <w:bookmarkStart w:id="11" w:name="_Toc118280301"/>
      <w:bookmarkStart w:id="12" w:name="_Toc130907253"/>
      <w:bookmarkStart w:id="13" w:name="_Toc127970006"/>
      <w:bookmarkStart w:id="14" w:name="_Toc23093"/>
      <w:bookmarkStart w:id="15" w:name="_Toc118274465"/>
      <w:bookmarkStart w:id="16" w:name="_Toc153104246"/>
      <w:bookmarkStart w:id="17" w:name="_Toc187543091"/>
      <w:bookmarkStart w:id="18" w:name="_Toc130194229"/>
      <w:bookmarkStart w:id="19" w:name="_Toc127970207"/>
      <w:r>
        <w:rPr>
          <w:rFonts w:ascii="Times New Roman" w:hAnsi="Times New Roman" w:eastAsia="方正小标宋简体"/>
          <w:sz w:val="56"/>
          <w:szCs w:val="56"/>
        </w:rPr>
        <w:t>（2023－2030年）</w:t>
      </w:r>
      <w:bookmarkEnd w:id="10"/>
      <w:bookmarkEnd w:id="11"/>
      <w:bookmarkEnd w:id="12"/>
      <w:bookmarkEnd w:id="13"/>
      <w:bookmarkEnd w:id="14"/>
      <w:bookmarkEnd w:id="15"/>
      <w:bookmarkEnd w:id="16"/>
      <w:bookmarkEnd w:id="17"/>
      <w:bookmarkEnd w:id="18"/>
      <w:bookmarkEnd w:id="19"/>
    </w:p>
    <w:p>
      <w:pPr>
        <w:spacing w:line="1000" w:lineRule="exact"/>
        <w:jc w:val="center"/>
        <w:rPr>
          <w:rFonts w:ascii="Times New Roman" w:hAnsi="Times New Roman" w:eastAsia="方正小标宋简体"/>
          <w:sz w:val="56"/>
          <w:szCs w:val="56"/>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jc w:val="center"/>
        <w:rPr>
          <w:rFonts w:ascii="Times New Roman" w:hAnsi="Times New Roman" w:eastAsia="黑体"/>
          <w:snapToGrid w:val="0"/>
          <w:spacing w:val="40"/>
          <w:kern w:val="0"/>
          <w:sz w:val="36"/>
          <w:szCs w:val="36"/>
        </w:rPr>
      </w:pPr>
      <w:r>
        <w:rPr>
          <w:rFonts w:ascii="Times New Roman" w:hAnsi="Times New Roman" w:eastAsia="黑体"/>
          <w:snapToGrid w:val="0"/>
          <w:spacing w:val="40"/>
          <w:kern w:val="0"/>
          <w:sz w:val="36"/>
          <w:szCs w:val="36"/>
        </w:rPr>
        <w:t>安徽省农业农村厅</w:t>
      </w:r>
    </w:p>
    <w:p>
      <w:pPr>
        <w:adjustRightInd w:val="0"/>
        <w:snapToGrid w:val="0"/>
        <w:spacing w:line="600" w:lineRule="exact"/>
        <w:ind w:firstLine="200"/>
        <w:jc w:val="center"/>
        <w:rPr>
          <w:rFonts w:ascii="Times New Roman" w:hAnsi="Times New Roman" w:eastAsia="黑体"/>
          <w:snapToGrid w:val="0"/>
          <w:spacing w:val="40"/>
          <w:kern w:val="0"/>
          <w:sz w:val="36"/>
          <w:szCs w:val="36"/>
        </w:rPr>
      </w:pPr>
      <w:r>
        <w:rPr>
          <w:rFonts w:ascii="Times New Roman" w:hAnsi="Times New Roman" w:eastAsia="黑体"/>
          <w:snapToGrid w:val="0"/>
          <w:spacing w:val="40"/>
          <w:kern w:val="0"/>
          <w:sz w:val="36"/>
          <w:szCs w:val="36"/>
        </w:rPr>
        <w:t>二〇二三年六月</w:t>
      </w:r>
    </w:p>
    <w:p>
      <w:pPr>
        <w:adjustRightInd w:val="0"/>
        <w:snapToGrid w:val="0"/>
        <w:spacing w:line="600" w:lineRule="exact"/>
        <w:ind w:firstLine="200"/>
        <w:rPr>
          <w:rFonts w:ascii="Times New Roman" w:hAnsi="Times New Roman" w:eastAsia="黑体"/>
          <w:snapToGrid w:val="0"/>
          <w:kern w:val="0"/>
          <w:sz w:val="32"/>
          <w:szCs w:val="32"/>
        </w:rPr>
      </w:pPr>
    </w:p>
    <w:p>
      <w:pPr>
        <w:adjustRightInd w:val="0"/>
        <w:snapToGrid w:val="0"/>
        <w:spacing w:line="600" w:lineRule="exact"/>
        <w:jc w:val="center"/>
        <w:rPr>
          <w:rFonts w:ascii="Times New Roman" w:hAnsi="Times New Roman" w:eastAsia="黑体"/>
          <w:snapToGrid w:val="0"/>
          <w:kern w:val="0"/>
          <w:sz w:val="44"/>
          <w:szCs w:val="44"/>
        </w:rPr>
      </w:pPr>
      <w:r>
        <w:rPr>
          <w:rFonts w:ascii="Times New Roman" w:hAnsi="Times New Roman" w:eastAsia="黑体"/>
          <w:snapToGrid w:val="0"/>
          <w:kern w:val="0"/>
          <w:sz w:val="44"/>
          <w:szCs w:val="44"/>
        </w:rPr>
        <w:t>目　　 录</w:t>
      </w:r>
    </w:p>
    <w:p>
      <w:pPr>
        <w:adjustRightInd w:val="0"/>
        <w:snapToGrid w:val="0"/>
        <w:spacing w:line="600" w:lineRule="exact"/>
        <w:jc w:val="center"/>
        <w:rPr>
          <w:rFonts w:ascii="Times New Roman" w:hAnsi="Times New Roman" w:eastAsia="黑体"/>
          <w:snapToGrid w:val="0"/>
          <w:kern w:val="0"/>
          <w:sz w:val="44"/>
          <w:szCs w:val="44"/>
        </w:rPr>
      </w:pP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fldChar w:fldCharType="begin"/>
      </w:r>
      <w:r>
        <w:rPr>
          <w:rFonts w:ascii="Times New Roman" w:hAnsi="Times New Roman" w:eastAsia="楷体_GB2312"/>
          <w:snapToGrid w:val="0"/>
          <w:kern w:val="0"/>
          <w:sz w:val="32"/>
          <w:szCs w:val="32"/>
        </w:rPr>
        <w:instrText xml:space="preserve">TOC \o "1-2" \h \u </w:instrText>
      </w:r>
      <w:r>
        <w:rPr>
          <w:rFonts w:ascii="Times New Roman" w:hAnsi="Times New Roman" w:eastAsia="楷体_GB2312"/>
          <w:snapToGrid w:val="0"/>
          <w:kern w:val="0"/>
          <w:sz w:val="32"/>
          <w:szCs w:val="32"/>
        </w:rPr>
        <w:fldChar w:fldCharType="separate"/>
      </w:r>
    </w:p>
    <w:p>
      <w:pPr>
        <w:tabs>
          <w:tab w:val="right" w:leader="dot" w:pos="8834"/>
        </w:tabs>
        <w:adjustRightInd w:val="0"/>
        <w:snapToGrid w:val="0"/>
        <w:spacing w:line="600" w:lineRule="exact"/>
        <w:rPr>
          <w:rFonts w:ascii="Times New Roman" w:hAnsi="Times New Roman" w:eastAsia="黑体"/>
          <w:snapToGrid w:val="0"/>
          <w:kern w:val="0"/>
          <w:sz w:val="32"/>
          <w:szCs w:val="32"/>
        </w:rPr>
      </w:pPr>
      <w:r>
        <w:fldChar w:fldCharType="begin"/>
      </w:r>
      <w:r>
        <w:instrText xml:space="preserve"> HYPERLINK \l "_Toc130907254" </w:instrText>
      </w:r>
      <w:r>
        <w:fldChar w:fldCharType="separate"/>
      </w:r>
      <w:r>
        <w:rPr>
          <w:rFonts w:ascii="Times New Roman" w:hAnsi="Times New Roman" w:eastAsia="黑体"/>
          <w:snapToGrid w:val="0"/>
          <w:kern w:val="0"/>
          <w:sz w:val="32"/>
          <w:szCs w:val="32"/>
        </w:rPr>
        <w:t>第一章 总　则</w:t>
      </w:r>
      <w:r>
        <w:rPr>
          <w:rFonts w:ascii="Times New Roman" w:hAnsi="Times New Roman" w:eastAsia="黑体"/>
          <w:snapToGrid w:val="0"/>
          <w:kern w:val="0"/>
          <w:sz w:val="32"/>
          <w:szCs w:val="32"/>
        </w:rPr>
        <w:tab/>
      </w:r>
      <w:r>
        <w:rPr>
          <w:rFonts w:ascii="Times New Roman" w:hAnsi="Times New Roman" w:eastAsia="黑体"/>
          <w:snapToGrid w:val="0"/>
          <w:kern w:val="0"/>
          <w:sz w:val="32"/>
          <w:szCs w:val="32"/>
        </w:rPr>
        <w:fldChar w:fldCharType="end"/>
      </w:r>
      <w:r>
        <w:rPr>
          <w:rFonts w:hint="eastAsia" w:ascii="Times New Roman" w:hAnsi="Times New Roman" w:eastAsia="黑体"/>
          <w:snapToGrid w:val="0"/>
          <w:kern w:val="0"/>
          <w:sz w:val="32"/>
          <w:szCs w:val="32"/>
        </w:rPr>
        <w:t>5</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"_Toc130907255" </w:instrText>
      </w:r>
      <w:r>
        <w:fldChar w:fldCharType="separate"/>
      </w:r>
      <w:r>
        <w:rPr>
          <w:rFonts w:ascii="Times New Roman" w:hAnsi="Times New Roman" w:eastAsia="楷体_GB2312"/>
          <w:snapToGrid w:val="0"/>
          <w:kern w:val="0"/>
          <w:sz w:val="32"/>
          <w:szCs w:val="32"/>
          <w:lang w:val="zh-CN"/>
        </w:rPr>
        <w:t>第一节　前言</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5</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"_Toc130907256" </w:instrText>
      </w:r>
      <w:r>
        <w:fldChar w:fldCharType="separate"/>
      </w:r>
      <w:r>
        <w:rPr>
          <w:rFonts w:ascii="Times New Roman" w:hAnsi="Times New Roman" w:eastAsia="楷体_GB2312"/>
          <w:snapToGrid w:val="0"/>
          <w:kern w:val="0"/>
          <w:sz w:val="32"/>
          <w:szCs w:val="32"/>
          <w:lang w:val="zh-CN"/>
        </w:rPr>
        <w:t>第二节　编制依据</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6</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"_Toc130907257" </w:instrText>
      </w:r>
      <w:r>
        <w:fldChar w:fldCharType="separate"/>
      </w:r>
      <w:r>
        <w:rPr>
          <w:rFonts w:ascii="Times New Roman" w:hAnsi="Times New Roman" w:eastAsia="楷体_GB2312"/>
          <w:snapToGrid w:val="0"/>
          <w:kern w:val="0"/>
          <w:sz w:val="32"/>
          <w:szCs w:val="32"/>
          <w:lang w:val="zh-CN"/>
        </w:rPr>
        <w:t>第三节　目标任务</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10</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"_Toc130907258" </w:instrText>
      </w:r>
      <w:r>
        <w:fldChar w:fldCharType="separate"/>
      </w:r>
      <w:r>
        <w:rPr>
          <w:rFonts w:ascii="Times New Roman" w:hAnsi="Times New Roman" w:eastAsia="楷体_GB2312"/>
          <w:snapToGrid w:val="0"/>
          <w:kern w:val="0"/>
          <w:sz w:val="32"/>
          <w:szCs w:val="32"/>
          <w:lang w:val="zh-CN"/>
        </w:rPr>
        <w:t>第四节　基本原则</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11</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"_Toc130907259" </w:instrText>
      </w:r>
      <w:r>
        <w:fldChar w:fldCharType="separate"/>
      </w:r>
      <w:r>
        <w:rPr>
          <w:rFonts w:ascii="Times New Roman" w:hAnsi="Times New Roman" w:eastAsia="楷体_GB2312"/>
          <w:snapToGrid w:val="0"/>
          <w:kern w:val="0"/>
          <w:sz w:val="32"/>
          <w:szCs w:val="32"/>
          <w:lang w:val="zh-CN"/>
        </w:rPr>
        <w:t>第五节　规划范围</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12</w:t>
      </w:r>
    </w:p>
    <w:p>
      <w:pPr>
        <w:tabs>
          <w:tab w:val="right" w:leader="dot" w:pos="8834"/>
        </w:tabs>
        <w:adjustRightInd w:val="0"/>
        <w:snapToGrid w:val="0"/>
        <w:spacing w:line="600" w:lineRule="exact"/>
        <w:rPr>
          <w:rFonts w:ascii="Times New Roman" w:hAnsi="Times New Roman" w:eastAsia="黑体"/>
          <w:snapToGrid w:val="0"/>
          <w:kern w:val="0"/>
          <w:sz w:val="32"/>
          <w:szCs w:val="32"/>
        </w:rPr>
      </w:pPr>
      <w:r>
        <w:fldChar w:fldCharType="begin"/>
      </w:r>
      <w:r>
        <w:instrText xml:space="preserve"> HYPERLINK \l "_Toc130907260" </w:instrText>
      </w:r>
      <w:r>
        <w:fldChar w:fldCharType="separate"/>
      </w:r>
      <w:r>
        <w:rPr>
          <w:rFonts w:ascii="Times New Roman" w:hAnsi="Times New Roman" w:eastAsia="黑体"/>
          <w:snapToGrid w:val="0"/>
          <w:kern w:val="0"/>
          <w:sz w:val="32"/>
          <w:szCs w:val="32"/>
        </w:rPr>
        <w:t>第二章 养殖水域滩涂利用评价</w:t>
      </w:r>
      <w:r>
        <w:rPr>
          <w:rFonts w:ascii="Times New Roman" w:hAnsi="Times New Roman" w:eastAsia="黑体"/>
          <w:snapToGrid w:val="0"/>
          <w:kern w:val="0"/>
          <w:sz w:val="32"/>
          <w:szCs w:val="32"/>
        </w:rPr>
        <w:tab/>
      </w:r>
      <w:r>
        <w:rPr>
          <w:rFonts w:ascii="Times New Roman" w:hAnsi="Times New Roman" w:eastAsia="黑体"/>
          <w:snapToGrid w:val="0"/>
          <w:kern w:val="0"/>
          <w:sz w:val="32"/>
          <w:szCs w:val="32"/>
        </w:rPr>
        <w:fldChar w:fldCharType="end"/>
      </w:r>
      <w:r>
        <w:rPr>
          <w:rFonts w:hint="eastAsia" w:ascii="Times New Roman" w:hAnsi="Times New Roman" w:eastAsia="黑体"/>
          <w:snapToGrid w:val="0"/>
          <w:kern w:val="0"/>
          <w:sz w:val="32"/>
          <w:szCs w:val="32"/>
        </w:rPr>
        <w:t>12</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"_Toc130907261" </w:instrText>
      </w:r>
      <w:r>
        <w:fldChar w:fldCharType="separate"/>
      </w:r>
      <w:r>
        <w:rPr>
          <w:rFonts w:ascii="Times New Roman" w:hAnsi="Times New Roman" w:eastAsia="楷体_GB2312"/>
          <w:snapToGrid w:val="0"/>
          <w:kern w:val="0"/>
          <w:sz w:val="32"/>
          <w:szCs w:val="32"/>
          <w:lang w:val="zh-CN"/>
        </w:rPr>
        <w:t>第六节　水域滩涂承载力分析</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12</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"_Toc130907262" </w:instrText>
      </w:r>
      <w:r>
        <w:fldChar w:fldCharType="separate"/>
      </w:r>
      <w:r>
        <w:rPr>
          <w:rFonts w:ascii="Times New Roman" w:hAnsi="Times New Roman" w:eastAsia="楷体_GB2312"/>
          <w:snapToGrid w:val="0"/>
          <w:kern w:val="0"/>
          <w:sz w:val="32"/>
          <w:szCs w:val="32"/>
          <w:lang w:val="zh-CN"/>
        </w:rPr>
        <w:t>第七节　水产养殖业发展分析</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19</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"_Toc130907263" </w:instrText>
      </w:r>
      <w:r>
        <w:fldChar w:fldCharType="separate"/>
      </w:r>
      <w:r>
        <w:rPr>
          <w:rFonts w:ascii="Times New Roman" w:hAnsi="Times New Roman" w:eastAsia="楷体_GB2312"/>
          <w:snapToGrid w:val="0"/>
          <w:kern w:val="0"/>
          <w:sz w:val="32"/>
          <w:szCs w:val="32"/>
          <w:lang w:val="zh-CN"/>
        </w:rPr>
        <w:t>第八节　养殖水域滩涂开发总体思路</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24</w:t>
      </w:r>
    </w:p>
    <w:p>
      <w:pPr>
        <w:tabs>
          <w:tab w:val="right" w:leader="dot" w:pos="8834"/>
        </w:tabs>
        <w:adjustRightInd w:val="0"/>
        <w:snapToGrid w:val="0"/>
        <w:spacing w:line="600" w:lineRule="exact"/>
        <w:rPr>
          <w:rFonts w:ascii="Times New Roman" w:hAnsi="Times New Roman" w:eastAsia="黑体"/>
          <w:snapToGrid w:val="0"/>
          <w:kern w:val="0"/>
          <w:sz w:val="32"/>
          <w:szCs w:val="32"/>
        </w:rPr>
      </w:pPr>
      <w:r>
        <w:fldChar w:fldCharType="begin"/>
      </w:r>
      <w:r>
        <w:instrText xml:space="preserve"> HYPERLINK \l "_Toc130907264" </w:instrText>
      </w:r>
      <w:r>
        <w:fldChar w:fldCharType="separate"/>
      </w:r>
      <w:r>
        <w:rPr>
          <w:rFonts w:ascii="Times New Roman" w:hAnsi="Times New Roman" w:eastAsia="黑体"/>
          <w:snapToGrid w:val="0"/>
          <w:kern w:val="0"/>
          <w:sz w:val="32"/>
          <w:szCs w:val="32"/>
        </w:rPr>
        <w:t>第三章　养殖水域滩涂功能区划</w:t>
      </w:r>
      <w:r>
        <w:rPr>
          <w:rFonts w:ascii="Times New Roman" w:hAnsi="Times New Roman" w:eastAsia="黑体"/>
          <w:snapToGrid w:val="0"/>
          <w:kern w:val="0"/>
          <w:sz w:val="32"/>
          <w:szCs w:val="32"/>
        </w:rPr>
        <w:tab/>
      </w:r>
      <w:r>
        <w:rPr>
          <w:rFonts w:ascii="Times New Roman" w:hAnsi="Times New Roman" w:eastAsia="黑体"/>
          <w:snapToGrid w:val="0"/>
          <w:kern w:val="0"/>
          <w:sz w:val="32"/>
          <w:szCs w:val="32"/>
        </w:rPr>
        <w:fldChar w:fldCharType="end"/>
      </w:r>
      <w:r>
        <w:rPr>
          <w:rFonts w:hint="eastAsia" w:ascii="Times New Roman" w:hAnsi="Times New Roman" w:eastAsia="黑体"/>
          <w:snapToGrid w:val="0"/>
          <w:kern w:val="0"/>
          <w:sz w:val="32"/>
          <w:szCs w:val="32"/>
        </w:rPr>
        <w:t>25</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"_Toc130907265" </w:instrText>
      </w:r>
      <w:r>
        <w:fldChar w:fldCharType="separate"/>
      </w:r>
      <w:r>
        <w:rPr>
          <w:rFonts w:ascii="Times New Roman" w:hAnsi="Times New Roman" w:eastAsia="楷体_GB2312"/>
          <w:snapToGrid w:val="0"/>
          <w:kern w:val="0"/>
          <w:sz w:val="32"/>
          <w:szCs w:val="32"/>
          <w:lang w:val="zh-CN"/>
        </w:rPr>
        <w:t>第九节　功能区划概述</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25</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"_Toc130907266" </w:instrText>
      </w:r>
      <w:r>
        <w:fldChar w:fldCharType="separate"/>
      </w:r>
      <w:r>
        <w:rPr>
          <w:rFonts w:ascii="Times New Roman" w:hAnsi="Times New Roman" w:eastAsia="楷体_GB2312"/>
          <w:snapToGrid w:val="0"/>
          <w:kern w:val="0"/>
          <w:sz w:val="32"/>
          <w:szCs w:val="32"/>
          <w:lang w:val="zh-CN"/>
        </w:rPr>
        <w:t>第十节　禁止养殖区</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26</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"_Toc130907267" </w:instrText>
      </w:r>
      <w:r>
        <w:fldChar w:fldCharType="separate"/>
      </w:r>
      <w:r>
        <w:rPr>
          <w:rFonts w:ascii="Times New Roman" w:hAnsi="Times New Roman" w:eastAsia="楷体_GB2312"/>
          <w:snapToGrid w:val="0"/>
          <w:kern w:val="0"/>
          <w:sz w:val="32"/>
          <w:szCs w:val="32"/>
          <w:lang w:val="zh-CN"/>
        </w:rPr>
        <w:t>第十一节　限制养殖区</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27</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"_Toc130907268" </w:instrText>
      </w:r>
      <w:r>
        <w:fldChar w:fldCharType="separate"/>
      </w:r>
      <w:r>
        <w:rPr>
          <w:rFonts w:ascii="Times New Roman" w:hAnsi="Times New Roman" w:eastAsia="楷体_GB2312"/>
          <w:snapToGrid w:val="0"/>
          <w:kern w:val="0"/>
          <w:sz w:val="32"/>
          <w:szCs w:val="32"/>
          <w:lang w:val="zh-CN"/>
        </w:rPr>
        <w:t>第十二节　养殖区</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begin"/>
      </w:r>
      <w:r>
        <w:rPr>
          <w:rFonts w:ascii="Times New Roman" w:hAnsi="Times New Roman" w:eastAsia="楷体_GB2312"/>
          <w:snapToGrid w:val="0"/>
          <w:kern w:val="0"/>
          <w:sz w:val="32"/>
          <w:szCs w:val="32"/>
        </w:rPr>
        <w:instrText xml:space="preserve"> PAGEREF _Toc130907268 \h </w:instrText>
      </w:r>
      <w:r>
        <w:rPr>
          <w:rFonts w:ascii="Times New Roman" w:hAnsi="Times New Roman" w:eastAsia="楷体_GB2312"/>
          <w:snapToGrid w:val="0"/>
          <w:kern w:val="0"/>
          <w:sz w:val="32"/>
          <w:szCs w:val="32"/>
        </w:rPr>
        <w:fldChar w:fldCharType="end"/>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29</w:t>
      </w:r>
    </w:p>
    <w:p>
      <w:pPr>
        <w:tabs>
          <w:tab w:val="right" w:leader="dot" w:pos="8834"/>
        </w:tabs>
        <w:adjustRightInd w:val="0"/>
        <w:snapToGrid w:val="0"/>
        <w:spacing w:line="600" w:lineRule="exact"/>
        <w:rPr>
          <w:rFonts w:ascii="Times New Roman" w:hAnsi="Times New Roman" w:eastAsia="黑体"/>
          <w:snapToGrid w:val="0"/>
          <w:kern w:val="0"/>
          <w:sz w:val="32"/>
          <w:szCs w:val="32"/>
        </w:rPr>
      </w:pPr>
      <w:r>
        <w:fldChar w:fldCharType="begin"/>
      </w:r>
      <w:r>
        <w:instrText xml:space="preserve"> HYPERLINK \l "_Toc130907269" </w:instrText>
      </w:r>
      <w:r>
        <w:fldChar w:fldCharType="separate"/>
      </w:r>
      <w:r>
        <w:rPr>
          <w:rFonts w:ascii="Times New Roman" w:hAnsi="Times New Roman" w:eastAsia="黑体"/>
          <w:snapToGrid w:val="0"/>
          <w:kern w:val="0"/>
          <w:sz w:val="32"/>
          <w:szCs w:val="32"/>
        </w:rPr>
        <w:t>第四章　保障措施</w:t>
      </w:r>
      <w:r>
        <w:rPr>
          <w:rFonts w:ascii="Times New Roman" w:hAnsi="Times New Roman" w:eastAsia="黑体"/>
          <w:snapToGrid w:val="0"/>
          <w:kern w:val="0"/>
          <w:sz w:val="32"/>
          <w:szCs w:val="32"/>
        </w:rPr>
        <w:tab/>
      </w:r>
      <w:r>
        <w:rPr>
          <w:rFonts w:ascii="Times New Roman" w:hAnsi="Times New Roman" w:eastAsia="黑体"/>
          <w:snapToGrid w:val="0"/>
          <w:kern w:val="0"/>
          <w:sz w:val="32"/>
          <w:szCs w:val="32"/>
        </w:rPr>
        <w:fldChar w:fldCharType="end"/>
      </w:r>
      <w:r>
        <w:rPr>
          <w:rFonts w:hint="eastAsia" w:ascii="Times New Roman" w:hAnsi="Times New Roman" w:eastAsia="黑体"/>
          <w:snapToGrid w:val="0"/>
          <w:kern w:val="0"/>
          <w:sz w:val="32"/>
          <w:szCs w:val="32"/>
        </w:rPr>
        <w:t>30</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"_Toc130907270" </w:instrText>
      </w:r>
      <w:r>
        <w:fldChar w:fldCharType="separate"/>
      </w:r>
      <w:r>
        <w:rPr>
          <w:rFonts w:ascii="Times New Roman" w:hAnsi="Times New Roman" w:eastAsia="楷体_GB2312"/>
          <w:snapToGrid w:val="0"/>
          <w:kern w:val="0"/>
          <w:sz w:val="32"/>
          <w:szCs w:val="32"/>
          <w:lang w:val="zh-CN"/>
        </w:rPr>
        <w:t>第十三节　加强组织领导</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30</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"_Toc130907271" </w:instrText>
      </w:r>
      <w:r>
        <w:fldChar w:fldCharType="separate"/>
      </w:r>
      <w:r>
        <w:rPr>
          <w:rFonts w:ascii="Times New Roman" w:hAnsi="Times New Roman" w:eastAsia="楷体_GB2312"/>
          <w:snapToGrid w:val="0"/>
          <w:kern w:val="0"/>
          <w:sz w:val="32"/>
          <w:szCs w:val="32"/>
          <w:lang w:val="zh-CN"/>
        </w:rPr>
        <w:t>第十四节　强化监督检查</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31</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"_Toc130907272" </w:instrText>
      </w:r>
      <w:r>
        <w:fldChar w:fldCharType="separate"/>
      </w:r>
      <w:r>
        <w:rPr>
          <w:rFonts w:ascii="Times New Roman" w:hAnsi="Times New Roman" w:eastAsia="楷体_GB2312"/>
          <w:snapToGrid w:val="0"/>
          <w:kern w:val="0"/>
          <w:sz w:val="32"/>
          <w:szCs w:val="32"/>
          <w:lang w:val="zh-CN"/>
        </w:rPr>
        <w:t>第十五节　完善生态保护</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32</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"_Toc130907273" </w:instrText>
      </w:r>
      <w:r>
        <w:fldChar w:fldCharType="separate"/>
      </w:r>
      <w:r>
        <w:rPr>
          <w:rFonts w:ascii="Times New Roman" w:hAnsi="Times New Roman" w:eastAsia="楷体_GB2312"/>
          <w:snapToGrid w:val="0"/>
          <w:kern w:val="0"/>
          <w:sz w:val="32"/>
          <w:szCs w:val="32"/>
          <w:lang w:val="zh-CN"/>
        </w:rPr>
        <w:t>第十六节　其他保障措施</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32</w:t>
      </w:r>
    </w:p>
    <w:p>
      <w:pPr>
        <w:tabs>
          <w:tab w:val="right" w:leader="dot" w:pos="8834"/>
        </w:tabs>
        <w:adjustRightInd w:val="0"/>
        <w:snapToGrid w:val="0"/>
        <w:spacing w:line="600" w:lineRule="exact"/>
        <w:rPr>
          <w:rFonts w:ascii="Times New Roman" w:hAnsi="Times New Roman" w:eastAsia="黑体"/>
          <w:snapToGrid w:val="0"/>
          <w:kern w:val="0"/>
          <w:sz w:val="32"/>
          <w:szCs w:val="32"/>
        </w:rPr>
      </w:pPr>
      <w:r>
        <w:fldChar w:fldCharType="begin"/>
      </w:r>
      <w:r>
        <w:instrText xml:space="preserve"> HYPERLINK \l "_Toc130907274" </w:instrText>
      </w:r>
      <w:r>
        <w:fldChar w:fldCharType="separate"/>
      </w:r>
      <w:r>
        <w:rPr>
          <w:rFonts w:ascii="Times New Roman" w:hAnsi="Times New Roman" w:eastAsia="黑体"/>
          <w:snapToGrid w:val="0"/>
          <w:kern w:val="0"/>
          <w:sz w:val="32"/>
          <w:szCs w:val="32"/>
        </w:rPr>
        <w:t>第五章　规划实施环境影响分析</w:t>
      </w:r>
      <w:r>
        <w:rPr>
          <w:rFonts w:ascii="Times New Roman" w:hAnsi="Times New Roman" w:eastAsia="黑体"/>
          <w:snapToGrid w:val="0"/>
          <w:kern w:val="0"/>
          <w:sz w:val="32"/>
          <w:szCs w:val="32"/>
        </w:rPr>
        <w:tab/>
      </w:r>
      <w:r>
        <w:rPr>
          <w:rFonts w:ascii="Times New Roman" w:hAnsi="Times New Roman" w:eastAsia="黑体"/>
          <w:snapToGrid w:val="0"/>
          <w:kern w:val="0"/>
          <w:sz w:val="32"/>
          <w:szCs w:val="32"/>
        </w:rPr>
        <w:fldChar w:fldCharType="end"/>
      </w:r>
      <w:r>
        <w:rPr>
          <w:rFonts w:hint="eastAsia" w:ascii="Times New Roman" w:hAnsi="Times New Roman" w:eastAsia="黑体"/>
          <w:snapToGrid w:val="0"/>
          <w:kern w:val="0"/>
          <w:sz w:val="32"/>
          <w:szCs w:val="32"/>
        </w:rPr>
        <w:t>33</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"_Toc130907275" </w:instrText>
      </w:r>
      <w:r>
        <w:fldChar w:fldCharType="separate"/>
      </w:r>
      <w:r>
        <w:rPr>
          <w:rFonts w:ascii="Times New Roman" w:hAnsi="Times New Roman" w:eastAsia="楷体_GB2312"/>
          <w:snapToGrid w:val="0"/>
          <w:kern w:val="0"/>
          <w:sz w:val="32"/>
          <w:szCs w:val="32"/>
          <w:lang w:val="zh-CN"/>
        </w:rPr>
        <w:t>第十七节　环境影响分析、预测和评估</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34</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"_Toc130907276" </w:instrText>
      </w:r>
      <w:r>
        <w:fldChar w:fldCharType="separate"/>
      </w:r>
      <w:r>
        <w:rPr>
          <w:rFonts w:ascii="Times New Roman" w:hAnsi="Times New Roman" w:eastAsia="楷体_GB2312"/>
          <w:snapToGrid w:val="0"/>
          <w:kern w:val="0"/>
          <w:sz w:val="32"/>
          <w:szCs w:val="32"/>
          <w:lang w:val="zh-CN"/>
        </w:rPr>
        <w:t>第十八节　环境保护措施</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36</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"_Toc130907277" </w:instrText>
      </w:r>
      <w:r>
        <w:fldChar w:fldCharType="separate"/>
      </w:r>
      <w:r>
        <w:rPr>
          <w:rFonts w:ascii="Times New Roman" w:hAnsi="Times New Roman" w:eastAsia="楷体_GB2312"/>
          <w:snapToGrid w:val="0"/>
          <w:kern w:val="0"/>
          <w:sz w:val="32"/>
          <w:szCs w:val="32"/>
          <w:lang w:val="zh-CN"/>
        </w:rPr>
        <w:t>第十九节　环境影响评价结论</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37</w:t>
      </w:r>
    </w:p>
    <w:p>
      <w:pPr>
        <w:tabs>
          <w:tab w:val="right" w:leader="dot" w:pos="8834"/>
        </w:tabs>
        <w:adjustRightInd w:val="0"/>
        <w:snapToGrid w:val="0"/>
        <w:spacing w:line="600" w:lineRule="exact"/>
        <w:rPr>
          <w:rFonts w:ascii="Times New Roman" w:hAnsi="Times New Roman" w:eastAsia="黑体"/>
          <w:snapToGrid w:val="0"/>
          <w:kern w:val="0"/>
          <w:sz w:val="32"/>
          <w:szCs w:val="32"/>
        </w:rPr>
      </w:pPr>
      <w:r>
        <w:fldChar w:fldCharType="begin"/>
      </w:r>
      <w:r>
        <w:instrText xml:space="preserve"> HYPERLINK \l "_Toc130907278" </w:instrText>
      </w:r>
      <w:r>
        <w:fldChar w:fldCharType="separate"/>
      </w:r>
      <w:r>
        <w:rPr>
          <w:rFonts w:ascii="Times New Roman" w:hAnsi="Times New Roman" w:eastAsia="黑体"/>
          <w:snapToGrid w:val="0"/>
          <w:kern w:val="0"/>
          <w:sz w:val="32"/>
          <w:szCs w:val="32"/>
        </w:rPr>
        <w:t>第六章　附　则</w:t>
      </w:r>
      <w:r>
        <w:rPr>
          <w:rFonts w:ascii="Times New Roman" w:hAnsi="Times New Roman" w:eastAsia="黑体"/>
          <w:snapToGrid w:val="0"/>
          <w:kern w:val="0"/>
          <w:sz w:val="32"/>
          <w:szCs w:val="32"/>
        </w:rPr>
        <w:tab/>
      </w:r>
      <w:r>
        <w:rPr>
          <w:rFonts w:ascii="Times New Roman" w:hAnsi="Times New Roman" w:eastAsia="黑体"/>
          <w:snapToGrid w:val="0"/>
          <w:kern w:val="0"/>
          <w:sz w:val="32"/>
          <w:szCs w:val="32"/>
        </w:rPr>
        <w:fldChar w:fldCharType="end"/>
      </w:r>
      <w:r>
        <w:rPr>
          <w:rFonts w:hint="eastAsia" w:ascii="Times New Roman" w:hAnsi="Times New Roman" w:eastAsia="黑体"/>
          <w:snapToGrid w:val="0"/>
          <w:kern w:val="0"/>
          <w:sz w:val="32"/>
          <w:szCs w:val="32"/>
        </w:rPr>
        <w:t>37</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"_Toc130907279" </w:instrText>
      </w:r>
      <w:r>
        <w:fldChar w:fldCharType="separate"/>
      </w:r>
      <w:r>
        <w:rPr>
          <w:rFonts w:ascii="Times New Roman" w:hAnsi="Times New Roman" w:eastAsia="楷体_GB2312"/>
          <w:snapToGrid w:val="0"/>
          <w:kern w:val="0"/>
          <w:sz w:val="32"/>
          <w:szCs w:val="32"/>
          <w:lang w:val="zh-CN"/>
        </w:rPr>
        <w:t>第二十节　规划效力</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37</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"_Toc130907280" </w:instrText>
      </w:r>
      <w:r>
        <w:fldChar w:fldCharType="separate"/>
      </w:r>
      <w:r>
        <w:rPr>
          <w:rFonts w:ascii="Times New Roman" w:hAnsi="Times New Roman" w:eastAsia="楷体_GB2312"/>
          <w:snapToGrid w:val="0"/>
          <w:kern w:val="0"/>
          <w:sz w:val="32"/>
          <w:szCs w:val="32"/>
          <w:lang w:val="zh-CN"/>
        </w:rPr>
        <w:t>第二十一节　规划图件</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38</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fldChar w:fldCharType="end"/>
      </w:r>
      <w:r>
        <w:rPr>
          <w:rFonts w:ascii="Times New Roman" w:hAnsi="Times New Roman" w:eastAsia="楷体_GB2312"/>
          <w:snapToGrid w:val="0"/>
          <w:kern w:val="0"/>
          <w:sz w:val="32"/>
          <w:szCs w:val="32"/>
        </w:rPr>
        <w:t xml:space="preserve">附件1 </w:t>
      </w:r>
      <w:r>
        <w:fldChar w:fldCharType="begin"/>
      </w:r>
      <w:r>
        <w:instrText xml:space="preserve"> HYPERLINK \l "_Toc130194257" </w:instrText>
      </w:r>
      <w:r>
        <w:fldChar w:fldCharType="separate"/>
      </w:r>
      <w:r>
        <w:rPr>
          <w:rFonts w:ascii="Times New Roman" w:hAnsi="Times New Roman" w:eastAsia="楷体_GB2312"/>
          <w:snapToGrid w:val="0"/>
          <w:kern w:val="0"/>
          <w:sz w:val="32"/>
          <w:szCs w:val="32"/>
        </w:rPr>
        <w:t>安徽省养殖水域滩涂功能区划表</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39</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 xml:space="preserve">附件2 </w:t>
      </w:r>
      <w:r>
        <w:fldChar w:fldCharType="begin"/>
      </w:r>
      <w:r>
        <w:instrText xml:space="preserve"> HYPERLINK \l "_Toc130194258" </w:instrText>
      </w:r>
      <w:r>
        <w:fldChar w:fldCharType="separate"/>
      </w:r>
      <w:r>
        <w:rPr>
          <w:rFonts w:ascii="Times New Roman" w:hAnsi="Times New Roman" w:eastAsia="楷体_GB2312"/>
          <w:snapToGrid w:val="0"/>
          <w:kern w:val="0"/>
          <w:sz w:val="32"/>
          <w:szCs w:val="32"/>
        </w:rPr>
        <w:t>安徽省养殖水域滩涂禁止养殖区名录</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40</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 xml:space="preserve">附件3 </w:t>
      </w:r>
      <w:r>
        <w:fldChar w:fldCharType="begin"/>
      </w:r>
      <w:r>
        <w:instrText xml:space="preserve"> HYPERLINK \l "_Toc130194259" </w:instrText>
      </w:r>
      <w:r>
        <w:fldChar w:fldCharType="separate"/>
      </w:r>
      <w:r>
        <w:rPr>
          <w:rFonts w:ascii="Times New Roman" w:hAnsi="Times New Roman" w:eastAsia="楷体_GB2312"/>
          <w:snapToGrid w:val="0"/>
          <w:kern w:val="0"/>
          <w:sz w:val="32"/>
          <w:szCs w:val="32"/>
        </w:rPr>
        <w:t>安徽省养殖水域滩涂限制养殖区名录</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66</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 xml:space="preserve">附件4 </w:t>
      </w:r>
      <w:r>
        <w:fldChar w:fldCharType="begin"/>
      </w:r>
      <w:r>
        <w:instrText xml:space="preserve"> HYPERLINK \l "_Toc130194260" </w:instrText>
      </w:r>
      <w:r>
        <w:fldChar w:fldCharType="separate"/>
      </w:r>
      <w:r>
        <w:rPr>
          <w:rFonts w:ascii="Times New Roman" w:hAnsi="Times New Roman" w:eastAsia="楷体_GB2312"/>
          <w:snapToGrid w:val="0"/>
          <w:kern w:val="0"/>
          <w:sz w:val="32"/>
          <w:szCs w:val="32"/>
        </w:rPr>
        <w:t>安徽省养殖水域滩涂养殖区信息表</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97</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 xml:space="preserve">附件5 </w:t>
      </w:r>
      <w:r>
        <w:fldChar w:fldCharType="begin"/>
      </w:r>
      <w:r>
        <w:instrText xml:space="preserve"> HYPERLINK \l "_Toc130194261" </w:instrText>
      </w:r>
      <w:r>
        <w:fldChar w:fldCharType="separate"/>
      </w:r>
      <w:r>
        <w:rPr>
          <w:rFonts w:ascii="Times New Roman" w:hAnsi="Times New Roman" w:eastAsia="楷体_GB2312"/>
          <w:snapToGrid w:val="0"/>
          <w:kern w:val="0"/>
          <w:sz w:val="32"/>
          <w:szCs w:val="32"/>
        </w:rPr>
        <w:t>安徽省养殖水域滩涂总体现状图</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98</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"_Toc130194262" </w:instrText>
      </w:r>
      <w:r>
        <w:fldChar w:fldCharType="separate"/>
      </w:r>
      <w:r>
        <w:rPr>
          <w:rFonts w:ascii="Times New Roman" w:hAnsi="Times New Roman" w:eastAsia="楷体_GB2312"/>
          <w:snapToGrid w:val="0"/>
          <w:kern w:val="0"/>
          <w:sz w:val="32"/>
          <w:szCs w:val="32"/>
        </w:rPr>
        <w:t>附件6 安徽省养殖功能区规划图</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99</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"_Toc130194263" </w:instrText>
      </w:r>
      <w:r>
        <w:fldChar w:fldCharType="separate"/>
      </w:r>
      <w:r>
        <w:rPr>
          <w:rFonts w:ascii="Times New Roman" w:hAnsi="Times New Roman" w:eastAsia="楷体_GB2312"/>
          <w:snapToGrid w:val="0"/>
          <w:kern w:val="0"/>
          <w:sz w:val="32"/>
          <w:szCs w:val="32"/>
        </w:rPr>
        <w:t>附件7 安徽省禁止养殖区功能区规划图</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100</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附件8 安徽省限制养殖区功能区规划图</w:t>
      </w:r>
      <w:r>
        <w:rPr>
          <w:rFonts w:ascii="Times New Roman" w:hAnsi="Times New Roman" w:eastAsia="楷体_GB2312"/>
          <w:snapToGrid w:val="0"/>
          <w:kern w:val="0"/>
          <w:sz w:val="32"/>
          <w:szCs w:val="32"/>
        </w:rPr>
        <w:tab/>
      </w:r>
      <w:r>
        <w:rPr>
          <w:rFonts w:hint="eastAsia" w:ascii="Times New Roman" w:hAnsi="Times New Roman" w:eastAsia="楷体_GB2312"/>
          <w:snapToGrid w:val="0"/>
          <w:kern w:val="0"/>
          <w:sz w:val="32"/>
          <w:szCs w:val="32"/>
        </w:rPr>
        <w:t>101</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附件9 安徽省养殖区功能区规划图</w:t>
      </w:r>
      <w:r>
        <w:rPr>
          <w:rFonts w:ascii="Times New Roman" w:hAnsi="Times New Roman" w:eastAsia="楷体_GB2312"/>
          <w:snapToGrid w:val="0"/>
          <w:kern w:val="0"/>
          <w:sz w:val="32"/>
          <w:szCs w:val="32"/>
        </w:rPr>
        <w:tab/>
      </w:r>
      <w:r>
        <w:rPr>
          <w:rFonts w:hint="eastAsia" w:ascii="Times New Roman" w:hAnsi="Times New Roman" w:eastAsia="楷体_GB2312"/>
          <w:snapToGrid w:val="0"/>
          <w:kern w:val="0"/>
          <w:sz w:val="32"/>
          <w:szCs w:val="32"/>
        </w:rPr>
        <w:t>102</w:t>
      </w:r>
    </w:p>
    <w:p>
      <w:pPr>
        <w:adjustRightInd w:val="0"/>
        <w:snapToGrid w:val="0"/>
        <w:spacing w:line="600" w:lineRule="exact"/>
        <w:rPr>
          <w:rFonts w:ascii="Times New Roman" w:hAnsi="Times New Roman" w:eastAsia="仿宋_GB2312"/>
          <w:snapToGrid w:val="0"/>
          <w:kern w:val="0"/>
          <w:sz w:val="32"/>
          <w:szCs w:val="32"/>
        </w:rPr>
      </w:pPr>
    </w:p>
    <w:p/>
    <w:p>
      <w:pPr>
        <w:tabs>
          <w:tab w:val="left" w:pos="420"/>
        </w:tabs>
        <w:adjustRightInd w:val="0"/>
        <w:snapToGrid w:val="0"/>
        <w:spacing w:line="600" w:lineRule="exact"/>
        <w:ind w:firstLine="200"/>
        <w:outlineLvl w:val="0"/>
        <w:rPr>
          <w:rFonts w:ascii="Times New Roman" w:hAnsi="Times New Roman" w:eastAsia="黑体"/>
          <w:snapToGrid w:val="0"/>
          <w:kern w:val="0"/>
          <w:sz w:val="32"/>
          <w:szCs w:val="32"/>
        </w:rPr>
      </w:pPr>
      <w:bookmarkStart w:id="20" w:name="_Toc1265697737"/>
      <w:bookmarkStart w:id="21" w:name="_Toc1327187613"/>
      <w:bookmarkStart w:id="22" w:name="_Toc130907254"/>
      <w:r>
        <w:rPr>
          <w:rFonts w:ascii="Times New Roman" w:hAnsi="Times New Roman" w:eastAsia="黑体"/>
          <w:snapToGrid w:val="0"/>
          <w:kern w:val="0"/>
          <w:sz w:val="32"/>
          <w:szCs w:val="32"/>
        </w:rPr>
        <w:br w:type="page"/>
      </w:r>
    </w:p>
    <w:p>
      <w:pPr>
        <w:tabs>
          <w:tab w:val="left" w:pos="420"/>
        </w:tabs>
        <w:adjustRightInd w:val="0"/>
        <w:snapToGrid w:val="0"/>
        <w:spacing w:line="600" w:lineRule="exact"/>
        <w:jc w:val="center"/>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第一章　总　则</w:t>
      </w:r>
      <w:bookmarkEnd w:id="20"/>
      <w:bookmarkEnd w:id="21"/>
      <w:bookmarkEnd w:id="22"/>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23" w:name="_Toc130907255"/>
      <w:bookmarkStart w:id="24" w:name="_Toc1496567689"/>
      <w:bookmarkStart w:id="25" w:name="_Toc22719"/>
      <w:bookmarkStart w:id="26" w:name="_Toc14653"/>
      <w:bookmarkStart w:id="27" w:name="_Toc620413206"/>
    </w:p>
    <w:p>
      <w:pPr>
        <w:tabs>
          <w:tab w:val="left" w:pos="0"/>
          <w:tab w:val="left" w:pos="420"/>
        </w:tabs>
        <w:adjustRightInd w:val="0"/>
        <w:snapToGrid w:val="0"/>
        <w:spacing w:line="600" w:lineRule="exact"/>
        <w:jc w:val="center"/>
        <w:outlineLvl w:val="1"/>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lang w:val="zh-CN"/>
        </w:rPr>
        <w:t>第一节</w:t>
      </w:r>
      <w:r>
        <w:rPr>
          <w:rFonts w:ascii="Times New Roman" w:hAnsi="Times New Roman" w:eastAsia="楷体_GB2312"/>
          <w:snapToGrid w:val="0"/>
          <w:kern w:val="0"/>
          <w:sz w:val="32"/>
          <w:szCs w:val="32"/>
        </w:rPr>
        <w:t>　</w:t>
      </w:r>
      <w:r>
        <w:rPr>
          <w:rFonts w:ascii="Times New Roman" w:hAnsi="Times New Roman" w:eastAsia="楷体_GB2312"/>
          <w:snapToGrid w:val="0"/>
          <w:kern w:val="0"/>
          <w:sz w:val="32"/>
          <w:szCs w:val="32"/>
          <w:lang w:val="zh-CN"/>
        </w:rPr>
        <w:t>前言</w:t>
      </w:r>
      <w:bookmarkEnd w:id="23"/>
      <w:bookmarkEnd w:id="24"/>
      <w:bookmarkEnd w:id="25"/>
      <w:bookmarkEnd w:id="26"/>
      <w:bookmarkEnd w:id="27"/>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渔业是农业农村经济的重要产业，水产养殖业是渔业的重要组成部分，养殖水域滩涂是水产养殖的基本生产要素。安徽地跨长江、淮河、新安江三大水系，水域生态环境良好，渔业资源丰富，是内陆水产大省和长三角地区乃至全国重要的淡水产品生产供应基地。近年来，安徽大力推进水产养殖业绿色发展，在保障优质动物蛋白供给、降低天然水域水生生物资源利用强度、促进渔业产业兴旺和渔民生活富裕等方面发挥了重要作用。但是，渔业发展也面临着资源环境约束趋紧、发展空间受限、布局结构不合理等问题，亟待科学规划推进渔业调结构转方式，构建水产养殖业绿色发展的空间格局，推动渔业高质量发展，更好满足人民对优质水产品和优美水域生态环境的需求。</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根据《中华人民共和国渔业法》《中华人民共和国长江保护法》《中华人民共和国水法》《农业农村部 生态环境部 自然资源部 国家发展和改革委员会 财政部 科学技术部 工业和信息化部 商务部 国家市场监督管理总局 中国银行保险监督管理委员会关于加快推进水产养殖业绿色发展的若干意见》（农渔发〔2019〕1号）、《农业部关于印发〈养殖水域滩涂规划编制工作规范〉和〈养殖水域滩涂规划编制大纲〉的通知》（农渔发〔2016〕39号）等法律法规和文件要求，依据安徽省水域滩涂资源禀赋和环境承载力、区域经济社会发展、水产养殖业发展现状，结合全省水域生态保护实际，以2020年国土变更调查成果和“三区三线”划定成果为底图，编制《安徽省养殖水域滩涂规划（2023－2030年）》（以下简称《规划》）。</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是渔业管理的基本制度，是水产养殖业发展的布局依据，是推进产业转型升级的重要抓手。《规划》依法科学划定禁止养殖区、限制养殖区和养殖区，进一步明确养殖水域滩涂功能区划，对于保护水域滩涂生态环境，稳定基本养殖面积，保障渔民合法权益，确保水产品有效供给安全、环境生态安全和产品质量安全，促进水产养殖业健康持续发展具有重要意义。</w:t>
      </w:r>
    </w:p>
    <w:p>
      <w:pPr>
        <w:adjustRightInd w:val="0"/>
        <w:snapToGrid w:val="0"/>
        <w:spacing w:line="600" w:lineRule="exact"/>
        <w:ind w:firstLine="640" w:firstLineChars="200"/>
        <w:rPr>
          <w:rFonts w:ascii="Times New Roman" w:hAnsi="Times New Roman" w:eastAsia="楷体_GB2312"/>
          <w:snapToGrid w:val="0"/>
          <w:kern w:val="0"/>
          <w:sz w:val="32"/>
          <w:szCs w:val="32"/>
        </w:rPr>
      </w:pPr>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28" w:name="_Toc29884"/>
      <w:bookmarkStart w:id="29" w:name="_Toc1264412359"/>
      <w:bookmarkStart w:id="30" w:name="_Toc1488172442"/>
      <w:bookmarkStart w:id="31" w:name="_Toc130907256"/>
      <w:bookmarkStart w:id="32" w:name="_Toc1630"/>
      <w:r>
        <w:rPr>
          <w:rFonts w:ascii="Times New Roman" w:hAnsi="Times New Roman" w:eastAsia="楷体_GB2312"/>
          <w:snapToGrid w:val="0"/>
          <w:kern w:val="0"/>
          <w:sz w:val="32"/>
          <w:szCs w:val="32"/>
          <w:lang w:val="zh-CN"/>
        </w:rPr>
        <w:t>第二节</w:t>
      </w:r>
      <w:r>
        <w:rPr>
          <w:rFonts w:ascii="Times New Roman" w:hAnsi="Times New Roman" w:eastAsia="楷体_GB2312"/>
          <w:snapToGrid w:val="0"/>
          <w:kern w:val="0"/>
          <w:sz w:val="32"/>
          <w:szCs w:val="32"/>
        </w:rPr>
        <w:t>　</w:t>
      </w:r>
      <w:r>
        <w:rPr>
          <w:rFonts w:ascii="Times New Roman" w:hAnsi="Times New Roman" w:eastAsia="楷体_GB2312"/>
          <w:snapToGrid w:val="0"/>
          <w:kern w:val="0"/>
          <w:sz w:val="32"/>
          <w:szCs w:val="32"/>
          <w:lang w:val="zh-CN"/>
        </w:rPr>
        <w:t>编制依据</w:t>
      </w:r>
      <w:bookmarkEnd w:id="28"/>
      <w:bookmarkEnd w:id="29"/>
      <w:bookmarkEnd w:id="30"/>
      <w:bookmarkEnd w:id="31"/>
      <w:bookmarkEnd w:id="32"/>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33" w:name="_Toc14457"/>
      <w:r>
        <w:rPr>
          <w:rFonts w:ascii="Times New Roman" w:hAnsi="Times New Roman" w:eastAsia="楷体_GB2312"/>
          <w:snapToGrid w:val="0"/>
          <w:kern w:val="0"/>
          <w:sz w:val="32"/>
          <w:szCs w:val="32"/>
        </w:rPr>
        <w:t>（一）法律法规</w:t>
      </w:r>
      <w:bookmarkEnd w:id="33"/>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《中华人民共和国渔业法》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《中华人民共和国水法》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《中华人民共和国长江保护法》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《中华人民共和国土地管理法》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《中华人民共和国环境保护法》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《中华人民共和国水污染防治法》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《中华人民共和国防洪法》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《中华人民共和国航道法》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《中华人民共和国港口法》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《中华人民共和国湿地保护法》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《中华人民共和国生物安全法》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《中华人民共和国基本农田保护条例》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《中华人民共和国自然保护区条例》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《中华人民共和国航道管理条例》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《中华人民共和国河道管理条例》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《安徽省实施〈中华人民共和国渔业法〉办法》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《安徽省实施〈中华人民共和国水法〉办法》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《安徽省实施〈中华人民共和国防洪法〉办法》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《安徽省实施〈中华人民共和国河道管理条例〉办法》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《安徽省饮用水水源环境保护条例》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《安徽省湖泊管理保护条例》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《安徽省湿地保护条例》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《安徽省航道管理办法》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《安徽省基本农田保护条例》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《安徽省人民代表大会常务委员会关于促进和保障长江流域禁捕工作若干问题的决定》</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其他相关法律法规</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34" w:name="_Toc32276"/>
      <w:r>
        <w:rPr>
          <w:rFonts w:ascii="Times New Roman" w:hAnsi="Times New Roman" w:eastAsia="楷体_GB2312"/>
          <w:snapToGrid w:val="0"/>
          <w:kern w:val="0"/>
          <w:sz w:val="32"/>
          <w:szCs w:val="32"/>
        </w:rPr>
        <w:t>（二）规章、规范性文件</w:t>
      </w:r>
      <w:bookmarkEnd w:id="34"/>
      <w:r>
        <w:rPr>
          <w:rFonts w:ascii="Times New Roman" w:hAnsi="Times New Roman" w:eastAsia="楷体_GB2312"/>
          <w:snapToGrid w:val="0"/>
          <w:kern w:val="0"/>
          <w:sz w:val="32"/>
          <w:szCs w:val="32"/>
        </w:rPr>
        <w:t>及规划成果</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《中共中央 国务院关于加快推进生态文明建设的意见》（中发〔2015〕12号）</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《中共中央 国务院关于实施乡村振兴战略的意见》（中发〔2018〕1号）</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《国务院关于印发水污染防治行动计划的通知》（国发〔2015〕17号）</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《水域滩涂养殖发证登记办法》（农业部令2010年第9号）</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《水产种质资源保护区管理暂行办法》（农业部令2011年第1号公布，农业部令2016年第3号修改）</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《外来入侵物种管理办法》（</w:t>
      </w:r>
      <w:r>
        <w:rPr>
          <w:rFonts w:ascii="Times New Roman" w:hAnsi="Times New Roman" w:eastAsia="仿宋_GB2312"/>
          <w:snapToGrid w:val="0"/>
          <w:kern w:val="0"/>
          <w:sz w:val="32"/>
          <w:szCs w:val="32"/>
          <w:lang w:bidi="ar"/>
        </w:rPr>
        <w:t>农业农村部 自然资源部 生态环境部 海关总署令2022年第4号</w:t>
      </w:r>
      <w:r>
        <w:rPr>
          <w:rFonts w:ascii="Times New Roman" w:hAnsi="Times New Roman" w:eastAsia="仿宋_GB2312"/>
          <w:snapToGrid w:val="0"/>
          <w:kern w:val="0"/>
          <w:sz w:val="32"/>
          <w:szCs w:val="32"/>
        </w:rPr>
        <w:t>）</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《农业部关于印发〈养殖水域滩涂规划编制工作规范〉和〈养殖水域滩涂规划编制大纲〉的通知》（农渔发〔2016〕39号）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《农业农村部 生态环境部 自然资源部 国家发展和改革委员会 财政部 科学技术部 工业和信息化部 商务部 国家市场监督管理总局 中国银行保险监督管理委员会关于加快推进水产养殖业绿色发展的若干意见》（农渔发〔2019〕1号）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《农业农村部 生态环境部 林草局关于推进大水面生态渔业发展的指导意见》（农渔发〔2019〕28号）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《自然资源部 生态环境部 国家林业和草原局关于加强生态保护红线管理的通知（试行）》（自然资发〔2022〕142号）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《安徽省国土空间规划委员会办公室关于开展国土空间专项规划编制工作的通知》（皖国土规办〔2021〕18号）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《中共安徽省委 安徽省人民政府关于全面推进乡村振兴加快农业农村现代化的实施意见》（皖发〔2021〕1号）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《安徽省人民政府办公厅关于加强长三角绿色农产品生产加工供应基地建设的实施意见》（皖政办〔2020〕6号）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w:t>
      </w:r>
      <w:r>
        <w:rPr>
          <w:rFonts w:ascii="Times New Roman" w:hAnsi="Times New Roman" w:eastAsia="仿宋_GB2312"/>
          <w:snapToGrid w:val="0"/>
          <w:kern w:val="0"/>
          <w:sz w:val="32"/>
          <w:szCs w:val="32"/>
          <w:lang w:bidi="ar"/>
        </w:rPr>
        <w:t>安徽省农业农村厅 安徽省发展和改革委员会关于印发</w:t>
      </w:r>
      <w:r>
        <w:rPr>
          <w:rFonts w:ascii="Times New Roman" w:hAnsi="Times New Roman" w:eastAsia="仿宋_GB2312"/>
          <w:snapToGrid w:val="0"/>
          <w:kern w:val="0"/>
          <w:sz w:val="32"/>
          <w:szCs w:val="32"/>
        </w:rPr>
        <w:t>安徽省“十四五”农业农村现代化规划的通知》（皖农规〔2022〕28号）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《安徽省农业农村厅关于印发〈安徽省“十四五”渔业发展规划〉的通知》（皖农渔〔2022〕71号）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《安徽省水利厅关于公布安徽省湖泊保护名录（第一批）的通知》（皖水管〔2018〕11号）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《安徽省水利厅关于公布安徽省湖泊保护名录（第二批）的通知》（皖水河湖〔2019〕42号）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《2020年国土变更调查成果数据库》</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《“三区三线”划定成果数据库》</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市、县（市、区）养殖水域滩涂规划</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《2022年中国渔业统计年鉴》</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《安徽省2021年渔业统计年报》</w:t>
      </w:r>
    </w:p>
    <w:p>
      <w:pPr>
        <w:tabs>
          <w:tab w:val="left" w:pos="0"/>
          <w:tab w:val="left" w:pos="420"/>
        </w:tabs>
        <w:adjustRightInd w:val="0"/>
        <w:snapToGrid w:val="0"/>
        <w:spacing w:line="600" w:lineRule="exact"/>
        <w:outlineLvl w:val="1"/>
        <w:rPr>
          <w:rFonts w:ascii="Times New Roman" w:hAnsi="Times New Roman" w:eastAsia="楷体_GB2312"/>
          <w:snapToGrid w:val="0"/>
          <w:kern w:val="0"/>
          <w:sz w:val="32"/>
          <w:szCs w:val="32"/>
          <w:lang w:val="zh-CN"/>
        </w:rPr>
      </w:pPr>
      <w:bookmarkStart w:id="35" w:name="_Toc966219791"/>
      <w:bookmarkStart w:id="36" w:name="_Toc1581322084"/>
      <w:bookmarkStart w:id="37" w:name="_Toc6761"/>
      <w:bookmarkStart w:id="38" w:name="_Toc130907257"/>
      <w:bookmarkStart w:id="39" w:name="_Toc5741"/>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第三节</w:t>
      </w:r>
      <w:r>
        <w:rPr>
          <w:rFonts w:ascii="Times New Roman" w:hAnsi="Times New Roman" w:eastAsia="楷体_GB2312"/>
          <w:snapToGrid w:val="0"/>
          <w:kern w:val="0"/>
          <w:sz w:val="32"/>
          <w:szCs w:val="32"/>
        </w:rPr>
        <w:t>　</w:t>
      </w:r>
      <w:r>
        <w:rPr>
          <w:rFonts w:ascii="Times New Roman" w:hAnsi="Times New Roman" w:eastAsia="楷体_GB2312"/>
          <w:snapToGrid w:val="0"/>
          <w:kern w:val="0"/>
          <w:sz w:val="32"/>
          <w:szCs w:val="32"/>
          <w:lang w:val="zh-CN"/>
        </w:rPr>
        <w:t>目标任务</w:t>
      </w:r>
      <w:bookmarkEnd w:id="35"/>
      <w:bookmarkEnd w:id="36"/>
      <w:bookmarkEnd w:id="37"/>
      <w:bookmarkEnd w:id="38"/>
      <w:bookmarkEnd w:id="39"/>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40" w:name="_Toc22088"/>
      <w:r>
        <w:rPr>
          <w:rFonts w:ascii="Times New Roman" w:hAnsi="Times New Roman" w:eastAsia="楷体_GB2312"/>
          <w:snapToGrid w:val="0"/>
          <w:kern w:val="0"/>
          <w:sz w:val="32"/>
          <w:szCs w:val="32"/>
        </w:rPr>
        <w:t>（一）规划期限</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规划期限为2023－2030年，基准年为2021年。</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（二）规划目标</w:t>
      </w:r>
      <w:bookmarkEnd w:id="40"/>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深入践行习近平生态文明思想和大食物观，在科学评价水域滩涂资源禀赋和环境承载力的基础上，依法科学划定全省各类养殖功能区，合理布局渔业生产，稳定池塘养殖面积，推进大水面生态渔业，保障渔民合法权益，保护水域生态环境，加强监测监管力度，确保水产品有效供给安全、环境生态安全和产品质量安全，实现稳产保供、绿色发展和产业振兴的渔业高质量发展目标。到2025年，水产健康养殖空间得到优化，产业结构更趋合理，水产养殖业绿色发展取得积极成效，水产养殖面积保持在40万公顷左右，建成一批国家级水产健康养殖和生态养殖示范区。到2030年，基本实现水产品供给保障有力、资源利用高效、产地环境良好、渔区生态优美的渔业可持续发展格局。</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41" w:name="_Toc9103"/>
      <w:r>
        <w:rPr>
          <w:rFonts w:ascii="Times New Roman" w:hAnsi="Times New Roman" w:eastAsia="楷体_GB2312"/>
          <w:snapToGrid w:val="0"/>
          <w:kern w:val="0"/>
          <w:sz w:val="32"/>
          <w:szCs w:val="32"/>
        </w:rPr>
        <w:t>（三）重点任务</w:t>
      </w:r>
      <w:bookmarkEnd w:id="41"/>
    </w:p>
    <w:p>
      <w:pPr>
        <w:numPr>
          <w:ilvl w:val="0"/>
          <w:numId w:val="2"/>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优化水产养殖空间布局。科学划定禁止养殖区、限制养殖区和养殖区，明确功能区域范围，优化调整养殖生产力布局，依法稳妥有序退出禁止养殖区内的水产养殖；严格控制限制养殖区养殖行为，科学合理确定养殖模式与容量，发展生态渔业；加强养殖区管理，稳定水产养殖基本面积。</w:t>
      </w:r>
    </w:p>
    <w:p>
      <w:pPr>
        <w:numPr>
          <w:ilvl w:val="0"/>
          <w:numId w:val="2"/>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加强养殖水域滩涂管理。全面落实水域滩涂养殖证制度，加大渔政管理执法力度，依法规范养殖行为，合理利用渔业资源，稳定和保护水产养殖业发展空间，保障养殖者合法权益，确保水域滩涂科学、协调、有序利用。</w:t>
      </w:r>
    </w:p>
    <w:p>
      <w:pPr>
        <w:numPr>
          <w:ilvl w:val="0"/>
          <w:numId w:val="2"/>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推进绿色健康水产养殖。发展池塘标准化养殖、工厂化循环水养殖、大水面生态渔业等生态健康养殖模式，推广疫苗免疫、生态防控措施，严格水产养殖用投入品管理。实施池塘标准化改造和尾水治理，提升养殖基础设施和装备水平，保护和改善养殖水域生态环境，提高集约化和现代化水平。</w:t>
      </w:r>
    </w:p>
    <w:p>
      <w:pPr>
        <w:adjustRightInd w:val="0"/>
        <w:snapToGrid w:val="0"/>
        <w:spacing w:line="600" w:lineRule="exact"/>
        <w:ind w:firstLine="640" w:firstLineChars="200"/>
        <w:rPr>
          <w:rFonts w:ascii="Times New Roman" w:hAnsi="Times New Roman" w:eastAsia="楷体_GB2312"/>
          <w:snapToGrid w:val="0"/>
          <w:kern w:val="0"/>
          <w:sz w:val="32"/>
          <w:szCs w:val="32"/>
        </w:rPr>
      </w:pPr>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42" w:name="_Toc132715260"/>
      <w:bookmarkStart w:id="43" w:name="_Toc23427"/>
      <w:bookmarkStart w:id="44" w:name="_Toc26398"/>
      <w:bookmarkStart w:id="45" w:name="_Toc130907258"/>
      <w:bookmarkStart w:id="46" w:name="_Toc1019408514"/>
      <w:r>
        <w:rPr>
          <w:rFonts w:ascii="Times New Roman" w:hAnsi="Times New Roman" w:eastAsia="楷体_GB2312"/>
          <w:snapToGrid w:val="0"/>
          <w:kern w:val="0"/>
          <w:sz w:val="32"/>
          <w:szCs w:val="32"/>
          <w:lang w:val="zh-CN"/>
        </w:rPr>
        <w:t>第四节</w:t>
      </w:r>
      <w:r>
        <w:rPr>
          <w:rFonts w:ascii="Times New Roman" w:hAnsi="Times New Roman" w:eastAsia="楷体_GB2312"/>
          <w:snapToGrid w:val="0"/>
          <w:kern w:val="0"/>
          <w:sz w:val="32"/>
          <w:szCs w:val="32"/>
        </w:rPr>
        <w:t>　</w:t>
      </w:r>
      <w:r>
        <w:rPr>
          <w:rFonts w:ascii="Times New Roman" w:hAnsi="Times New Roman" w:eastAsia="楷体_GB2312"/>
          <w:snapToGrid w:val="0"/>
          <w:kern w:val="0"/>
          <w:sz w:val="32"/>
          <w:szCs w:val="32"/>
          <w:lang w:val="zh-CN"/>
        </w:rPr>
        <w:t>基本原则</w:t>
      </w:r>
      <w:bookmarkEnd w:id="42"/>
      <w:bookmarkEnd w:id="43"/>
      <w:bookmarkEnd w:id="44"/>
      <w:bookmarkEnd w:id="45"/>
      <w:bookmarkEnd w:id="46"/>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坚持科学规划、因地制宜。</w:t>
      </w:r>
      <w:r>
        <w:rPr>
          <w:rFonts w:ascii="Times New Roman" w:hAnsi="Times New Roman" w:eastAsia="仿宋_GB2312"/>
          <w:snapToGrid w:val="0"/>
          <w:kern w:val="0"/>
          <w:sz w:val="32"/>
          <w:szCs w:val="32"/>
        </w:rPr>
        <w:t>根据水域滩涂承载力评价结果，结合水产养殖业发展和生态保护需要，确立养殖水域滩涂开发利用和保护总体思路，依法划设养殖水域滩涂功能区，促进渔业健康可持续发展。</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坚持生态优先、底线约束。</w:t>
      </w:r>
      <w:r>
        <w:rPr>
          <w:rFonts w:ascii="Times New Roman" w:hAnsi="Times New Roman" w:eastAsia="仿宋_GB2312"/>
          <w:snapToGrid w:val="0"/>
          <w:kern w:val="0"/>
          <w:sz w:val="32"/>
          <w:szCs w:val="32"/>
        </w:rPr>
        <w:t>坚持水域滩涂生态环境保护优先，合理安排渔业发展空间，将饮用水水源地、自然保护地等重要生态保护或公共安全“红线”和“黄线”区域作为禁止或限制养殖区，设定渔业发展底线。</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坚持合理布局、有序利用。</w:t>
      </w:r>
      <w:r>
        <w:rPr>
          <w:rFonts w:ascii="Times New Roman" w:hAnsi="Times New Roman" w:eastAsia="仿宋_GB2312"/>
          <w:snapToGrid w:val="0"/>
          <w:kern w:val="0"/>
          <w:sz w:val="32"/>
          <w:szCs w:val="32"/>
        </w:rPr>
        <w:t>稳定池塘养殖基本盘，科学规划发展大水面生态渔业，加快发展设施水产养殖，统筹推进宜渔空间开发，提升水产养殖规模化、集约化、机械化、智能化、标准化水平，提高单位水体产出率、资源利用率、劳动生产率。</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坚持总体协调、横向衔接。</w:t>
      </w:r>
      <w:r>
        <w:rPr>
          <w:rFonts w:ascii="Times New Roman" w:hAnsi="Times New Roman" w:eastAsia="仿宋_GB2312"/>
          <w:snapToGrid w:val="0"/>
          <w:kern w:val="0"/>
          <w:sz w:val="32"/>
          <w:szCs w:val="32"/>
        </w:rPr>
        <w:t>纳入安徽省国土空间规划体系，与生态环保、交通运输、水利、农业农村等其他相关规划文件相衔接，促进区域经济协调发展。坚持以人为本，依法依规解决历史形成的渔民养殖问题，促进渔业经济发展和社会稳定。</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坚持规范管理、动态调整。</w:t>
      </w:r>
      <w:r>
        <w:rPr>
          <w:rFonts w:ascii="Times New Roman" w:hAnsi="Times New Roman" w:eastAsia="仿宋_GB2312"/>
          <w:snapToGrid w:val="0"/>
          <w:kern w:val="0"/>
          <w:sz w:val="32"/>
          <w:szCs w:val="32"/>
        </w:rPr>
        <w:t>完善养殖水域滩涂使用管理措施，强化用途导向，严格用途监管，确保养殖水域滩涂资源有效保护、合理利用。规划实行动态调整，根据经济社会发展和实施中出现的新问题新趋势，依法按程序调整优化规划内容，切实发挥规划引领作用。</w:t>
      </w:r>
    </w:p>
    <w:p>
      <w:pPr>
        <w:adjustRightInd w:val="0"/>
        <w:snapToGrid w:val="0"/>
        <w:spacing w:line="600" w:lineRule="exact"/>
        <w:ind w:firstLine="640" w:firstLineChars="200"/>
        <w:rPr>
          <w:rFonts w:ascii="Times New Roman" w:hAnsi="Times New Roman" w:eastAsia="仿宋_GB2312"/>
          <w:snapToGrid w:val="0"/>
          <w:kern w:val="0"/>
          <w:sz w:val="32"/>
          <w:szCs w:val="32"/>
        </w:rPr>
      </w:pPr>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47" w:name="_Toc21757"/>
      <w:bookmarkStart w:id="48" w:name="_Toc31964"/>
      <w:bookmarkStart w:id="49" w:name="_Toc130907259"/>
      <w:bookmarkStart w:id="50" w:name="_Toc205523038"/>
      <w:bookmarkStart w:id="51" w:name="_Toc1344852832"/>
      <w:r>
        <w:rPr>
          <w:rFonts w:ascii="Times New Roman" w:hAnsi="Times New Roman" w:eastAsia="楷体_GB2312"/>
          <w:snapToGrid w:val="0"/>
          <w:kern w:val="0"/>
          <w:sz w:val="32"/>
          <w:szCs w:val="32"/>
          <w:lang w:val="zh-CN"/>
        </w:rPr>
        <w:t>第五节</w:t>
      </w:r>
      <w:r>
        <w:rPr>
          <w:rFonts w:ascii="Times New Roman" w:hAnsi="Times New Roman" w:eastAsia="楷体_GB2312"/>
          <w:snapToGrid w:val="0"/>
          <w:kern w:val="0"/>
          <w:sz w:val="32"/>
          <w:szCs w:val="32"/>
        </w:rPr>
        <w:t>　</w:t>
      </w:r>
      <w:r>
        <w:rPr>
          <w:rFonts w:ascii="Times New Roman" w:hAnsi="Times New Roman" w:eastAsia="楷体_GB2312"/>
          <w:snapToGrid w:val="0"/>
          <w:kern w:val="0"/>
          <w:sz w:val="32"/>
          <w:szCs w:val="32"/>
          <w:lang w:val="zh-CN"/>
        </w:rPr>
        <w:t>规划范围</w:t>
      </w:r>
      <w:bookmarkEnd w:id="47"/>
      <w:bookmarkEnd w:id="48"/>
      <w:bookmarkEnd w:id="49"/>
      <w:bookmarkEnd w:id="50"/>
      <w:bookmarkEnd w:id="51"/>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《规划》中的养殖水域滩涂是指安徽省管辖水域滩涂内，已经进行水产养殖开发利用和目前尚未开发但适于水产养殖开发利用的所有（全民、集体）水域和滩涂。</w:t>
      </w:r>
    </w:p>
    <w:p>
      <w:pPr>
        <w:tabs>
          <w:tab w:val="left" w:pos="420"/>
        </w:tabs>
        <w:adjustRightInd w:val="0"/>
        <w:snapToGrid w:val="0"/>
        <w:spacing w:line="600" w:lineRule="exact"/>
        <w:ind w:firstLine="640" w:firstLineChars="200"/>
        <w:outlineLvl w:val="0"/>
        <w:rPr>
          <w:rFonts w:ascii="Times New Roman" w:hAnsi="Times New Roman" w:eastAsia="黑体"/>
          <w:snapToGrid w:val="0"/>
          <w:kern w:val="0"/>
          <w:sz w:val="32"/>
          <w:szCs w:val="32"/>
        </w:rPr>
      </w:pPr>
      <w:bookmarkStart w:id="52" w:name="_Toc130907260"/>
      <w:bookmarkStart w:id="53" w:name="_Toc750282195"/>
      <w:bookmarkStart w:id="54" w:name="_Toc941897523"/>
    </w:p>
    <w:p>
      <w:pPr>
        <w:tabs>
          <w:tab w:val="left" w:pos="420"/>
        </w:tabs>
        <w:adjustRightInd w:val="0"/>
        <w:snapToGrid w:val="0"/>
        <w:spacing w:line="600" w:lineRule="exact"/>
        <w:ind w:firstLine="640" w:firstLineChars="200"/>
        <w:outlineLvl w:val="0"/>
        <w:rPr>
          <w:rFonts w:ascii="Times New Roman" w:hAnsi="Times New Roman" w:eastAsia="黑体"/>
          <w:snapToGrid w:val="0"/>
          <w:kern w:val="0"/>
          <w:sz w:val="32"/>
          <w:szCs w:val="32"/>
        </w:rPr>
      </w:pPr>
    </w:p>
    <w:p>
      <w:pPr>
        <w:tabs>
          <w:tab w:val="left" w:pos="420"/>
        </w:tabs>
        <w:adjustRightInd w:val="0"/>
        <w:snapToGrid w:val="0"/>
        <w:spacing w:line="600" w:lineRule="exact"/>
        <w:jc w:val="center"/>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第二章　养殖水域滩涂利用评价</w:t>
      </w:r>
      <w:bookmarkEnd w:id="52"/>
      <w:bookmarkEnd w:id="53"/>
      <w:bookmarkEnd w:id="54"/>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55" w:name="_Toc675706943"/>
      <w:bookmarkStart w:id="56" w:name="_Toc12034"/>
      <w:bookmarkStart w:id="57" w:name="_Toc2089598263"/>
      <w:bookmarkStart w:id="58" w:name="_Toc29288"/>
      <w:bookmarkStart w:id="59" w:name="_Toc130907261"/>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lang w:val="zh-CN"/>
        </w:rPr>
        <w:t>第六节　水域滩涂承载力分析</w:t>
      </w:r>
      <w:bookmarkEnd w:id="55"/>
      <w:bookmarkEnd w:id="56"/>
      <w:bookmarkEnd w:id="57"/>
      <w:bookmarkEnd w:id="58"/>
      <w:bookmarkEnd w:id="59"/>
      <w:bookmarkStart w:id="60" w:name="_Toc9938"/>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（一）水域滩涂资源状况</w:t>
      </w:r>
      <w:bookmarkEnd w:id="60"/>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1．地理位置</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地处长江、淮河中下游，长江三角洲腹地，居中靠东、沿江通海，位于东经114°52′～119°38′、北纬29°23′～34°39′之间。东连江苏、浙江，西接湖北、河南，南邻江西，北靠山东，是东西双向对内对外开放的前沿和长三角经济区的重要组成部分。全省东西宽约450公里，南北长约570公里，国土总面积14.01万平方公里。</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2．地形地貌</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地形地貌呈现多样性，长江和淮河自西向东横贯全境，地势西南高、东北低，地形南北迥异，划分为淮北平原、江淮丘陵、沿江平原、皖西大别山区及皖南山区五大自然区域。淮北平原地势坦荡辽阔，江淮丘陵岗丘逶迤曲折，沿江平原河湖交错、平畴沃野，皖西、皖南山区层峦叠嶂。主要山脉有大别山、黄山、九华山、天柱山。</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3．水域资源</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安徽水域资源丰富，常年水资源总量700多亿立方米，呈南多北少的特点。境内河流分属</w:t>
      </w:r>
      <w:r>
        <w:fldChar w:fldCharType="begin"/>
      </w:r>
      <w:r>
        <w:instrText xml:space="preserve"> HYPERLINK "https://baike.baidu.com/item/%E9%95%BF%E6%B1%9F/388" \t "https://baike.baidu.com/item/%E5%AE%89%E5%BE%BD/_blank" </w:instrText>
      </w:r>
      <w:r>
        <w:fldChar w:fldCharType="separate"/>
      </w:r>
      <w:r>
        <w:rPr>
          <w:rFonts w:ascii="Times New Roman" w:hAnsi="Times New Roman" w:eastAsia="仿宋_GB2312"/>
          <w:snapToGrid w:val="0"/>
          <w:kern w:val="0"/>
          <w:sz w:val="32"/>
          <w:szCs w:val="32"/>
        </w:rPr>
        <w:t>长江</w:t>
      </w:r>
      <w:r>
        <w:rPr>
          <w:rFonts w:ascii="Times New Roman" w:hAnsi="Times New Roman" w:eastAsia="仿宋_GB2312"/>
          <w:snapToGrid w:val="0"/>
          <w:kern w:val="0"/>
          <w:sz w:val="32"/>
          <w:szCs w:val="32"/>
        </w:rPr>
        <w:fldChar w:fldCharType="end"/>
      </w:r>
      <w:r>
        <w:rPr>
          <w:rFonts w:ascii="Times New Roman" w:hAnsi="Times New Roman" w:eastAsia="仿宋_GB2312"/>
          <w:snapToGrid w:val="0"/>
          <w:kern w:val="0"/>
          <w:sz w:val="32"/>
          <w:szCs w:val="32"/>
        </w:rPr>
        <w:t>、淮河、新安江三大水系。长江流经安徽中南部，境内全长416公里，流域面积6.67万平方公里，主要支流有华阳河、皖河、裕溪河、黄湓河、秋浦河、漳河、青弋江、水阳江等。淮河流经安徽北部，境内全长430公里，流域面积3000平方公里以上有颍河、涡河、茨淮新河、淠河、东淝河、池河。新安江为钱塘江正源，安徽境内干流长240公里，流域面积1000平方公里以上主要支流有横江、练江。</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境内湖泊众多，长江流域湖泊分布于沿江平原，主要有巢湖、华阳河湖泊群、武昌湖、破罡湖、菜子湖、白荡湖、陈瑶湖、升金湖、南漪湖、石臼湖等，其中巢湖面积800平方公里，为中国五大淡水湖之一。淮河流域湖泊主要分布在沿淮两岸，主要有焦岗湖、花家湖、四方湖、沱湖、城西湖、城东湖、瓦埠湖、高塘湖、天河湖、龙子湖、花园湖、女山湖等。全省水库5824座，大型水库主要有佛子岭、磨子潭、响洪甸、梅山、白莲崖、龙河口、花凉亭、港口湾、董铺、大房郢、黄栗树、沙河集、屯仓、釜山、陈村水库、下浒山、月潭。全省坑塘水面60.1万公顷、沟渠29.5万公顷。此外，河流、湖泊、水库</w:t>
      </w:r>
      <w:r>
        <w:fldChar w:fldCharType="begin"/>
      </w:r>
      <w:r>
        <w:instrText xml:space="preserve"> HYPERLINK "https://baike.baidu.com/item/%E5%B8%B8%E6%B0%B4%E4%BD%8D/2476937" \t "https://baike.baidu.com/item/%E6%BB%A9%E6%B6%82/_blank" </w:instrText>
      </w:r>
      <w:r>
        <w:fldChar w:fldCharType="separate"/>
      </w:r>
      <w:r>
        <w:rPr>
          <w:rFonts w:ascii="Times New Roman" w:hAnsi="Times New Roman" w:eastAsia="仿宋_GB2312"/>
          <w:snapToGrid w:val="0"/>
          <w:kern w:val="0"/>
          <w:sz w:val="32"/>
          <w:szCs w:val="32"/>
        </w:rPr>
        <w:t>常水位</w:t>
      </w:r>
      <w:r>
        <w:rPr>
          <w:rFonts w:ascii="Times New Roman" w:hAnsi="Times New Roman" w:eastAsia="仿宋_GB2312"/>
          <w:snapToGrid w:val="0"/>
          <w:kern w:val="0"/>
          <w:sz w:val="32"/>
          <w:szCs w:val="32"/>
        </w:rPr>
        <w:fldChar w:fldCharType="end"/>
      </w:r>
      <w:r>
        <w:rPr>
          <w:rFonts w:ascii="Times New Roman" w:hAnsi="Times New Roman" w:eastAsia="仿宋_GB2312"/>
          <w:snapToGrid w:val="0"/>
          <w:kern w:val="0"/>
          <w:sz w:val="32"/>
          <w:szCs w:val="32"/>
        </w:rPr>
        <w:t>至洪水位间的滩涂地，在汛期水位上涨后形成淹没区，成为鱼类等水生生物重要的索饵场。</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61" w:name="_Toc29894"/>
      <w:r>
        <w:rPr>
          <w:rFonts w:ascii="Times New Roman" w:hAnsi="Times New Roman" w:eastAsia="楷体_GB2312"/>
          <w:snapToGrid w:val="0"/>
          <w:kern w:val="0"/>
          <w:sz w:val="32"/>
          <w:szCs w:val="32"/>
        </w:rPr>
        <w:t>（二）自然气候条件</w:t>
      </w:r>
      <w:bookmarkEnd w:id="61"/>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1．气候</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地处亚热带与暖温带过渡地区。淮河是中国南北地理分界线，淮河以北属暖温带半湿润季风气候，淮河以南为亚热带湿润季风气候。全省季风明显，四季分明，春暖多变，夏雨集中，秋高气爽，冬季寒冷。全省年平均气温在14</w:t>
      </w:r>
      <w:r>
        <w:rPr>
          <w:rFonts w:hint="eastAsia" w:ascii="宋体" w:hAnsi="宋体" w:cs="宋体"/>
          <w:snapToGrid w:val="0"/>
          <w:kern w:val="0"/>
          <w:sz w:val="32"/>
          <w:szCs w:val="32"/>
        </w:rPr>
        <w:t>℃</w:t>
      </w:r>
      <w:r>
        <w:rPr>
          <w:rFonts w:ascii="Times New Roman" w:hAnsi="Times New Roman" w:eastAsia="仿宋_GB2312"/>
          <w:snapToGrid w:val="0"/>
          <w:kern w:val="0"/>
          <w:sz w:val="32"/>
          <w:szCs w:val="32"/>
        </w:rPr>
        <w:t>－17</w:t>
      </w:r>
      <w:r>
        <w:rPr>
          <w:rFonts w:hint="eastAsia" w:ascii="宋体" w:hAnsi="宋体" w:cs="宋体"/>
          <w:snapToGrid w:val="0"/>
          <w:kern w:val="0"/>
          <w:sz w:val="32"/>
          <w:szCs w:val="32"/>
        </w:rPr>
        <w:t>℃</w:t>
      </w:r>
      <w:r>
        <w:rPr>
          <w:rFonts w:ascii="Times New Roman" w:hAnsi="Times New Roman" w:eastAsia="仿宋_GB2312"/>
          <w:snapToGrid w:val="0"/>
          <w:kern w:val="0"/>
          <w:sz w:val="32"/>
          <w:szCs w:val="32"/>
        </w:rPr>
        <w:t>之间，平均日照1800－2500小时，全年无霜期200－250天，10</w:t>
      </w:r>
      <w:r>
        <w:rPr>
          <w:rFonts w:hint="eastAsia" w:ascii="宋体" w:hAnsi="宋体" w:cs="宋体"/>
          <w:snapToGrid w:val="0"/>
          <w:kern w:val="0"/>
          <w:sz w:val="32"/>
          <w:szCs w:val="32"/>
        </w:rPr>
        <w:t>℃</w:t>
      </w:r>
      <w:r>
        <w:rPr>
          <w:rFonts w:ascii="Times New Roman" w:hAnsi="Times New Roman" w:eastAsia="仿宋_GB2312"/>
          <w:snapToGrid w:val="0"/>
          <w:kern w:val="0"/>
          <w:sz w:val="32"/>
          <w:szCs w:val="32"/>
        </w:rPr>
        <w:t>活动</w:t>
      </w:r>
      <w:r>
        <w:fldChar w:fldCharType="begin"/>
      </w:r>
      <w:r>
        <w:instrText xml:space="preserve"> HYPERLINK "https://baike.baidu.com/item/%E7%A7%AF%E6%B8%A9" \t "https://baike.baidu.com/item/%E5%AE%89%E5%BE%BD/_blank" </w:instrText>
      </w:r>
      <w:r>
        <w:fldChar w:fldCharType="separate"/>
      </w:r>
      <w:r>
        <w:rPr>
          <w:rFonts w:ascii="Times New Roman" w:hAnsi="Times New Roman" w:eastAsia="仿宋_GB2312"/>
          <w:snapToGrid w:val="0"/>
          <w:kern w:val="0"/>
          <w:sz w:val="32"/>
          <w:szCs w:val="32"/>
        </w:rPr>
        <w:t>积温</w:t>
      </w:r>
      <w:r>
        <w:rPr>
          <w:rFonts w:ascii="Times New Roman" w:hAnsi="Times New Roman" w:eastAsia="仿宋_GB2312"/>
          <w:snapToGrid w:val="0"/>
          <w:kern w:val="0"/>
          <w:sz w:val="32"/>
          <w:szCs w:val="32"/>
        </w:rPr>
        <w:fldChar w:fldCharType="end"/>
      </w:r>
      <w:r>
        <w:rPr>
          <w:rFonts w:ascii="Times New Roman" w:hAnsi="Times New Roman" w:eastAsia="仿宋_GB2312"/>
          <w:snapToGrid w:val="0"/>
          <w:kern w:val="0"/>
          <w:sz w:val="32"/>
          <w:szCs w:val="32"/>
        </w:rPr>
        <w:t>在4600</w:t>
      </w:r>
      <w:r>
        <w:rPr>
          <w:rFonts w:hint="eastAsia" w:ascii="宋体" w:hAnsi="宋体" w:cs="宋体"/>
          <w:snapToGrid w:val="0"/>
          <w:kern w:val="0"/>
          <w:sz w:val="32"/>
          <w:szCs w:val="32"/>
        </w:rPr>
        <w:t>℃</w:t>
      </w:r>
      <w:r>
        <w:rPr>
          <w:rFonts w:ascii="Times New Roman" w:hAnsi="Times New Roman" w:eastAsia="仿宋_GB2312"/>
          <w:snapToGrid w:val="0"/>
          <w:kern w:val="0"/>
          <w:sz w:val="32"/>
          <w:szCs w:val="32"/>
        </w:rPr>
        <w:t>－5300</w:t>
      </w:r>
      <w:r>
        <w:rPr>
          <w:rFonts w:hint="eastAsia" w:ascii="宋体" w:hAnsi="宋体" w:cs="宋体"/>
          <w:snapToGrid w:val="0"/>
          <w:kern w:val="0"/>
          <w:sz w:val="32"/>
          <w:szCs w:val="32"/>
        </w:rPr>
        <w:t>℃</w:t>
      </w:r>
      <w:r>
        <w:rPr>
          <w:rFonts w:ascii="Times New Roman" w:hAnsi="Times New Roman" w:eastAsia="仿宋_GB2312"/>
          <w:snapToGrid w:val="0"/>
          <w:kern w:val="0"/>
          <w:sz w:val="32"/>
          <w:szCs w:val="32"/>
        </w:rPr>
        <w:t>左右。全年降水量在800－1800毫米，降水呈时空分布不均、年际变化量大、南多北少、夏多冬少的特点。安徽地形地貌多样，气候条件复杂，各类自然灾害时常发生，影响渔业生产的自然灾害主要有洪涝、干旱、台风、低温冷冻害等。</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2．水文</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水文既带有强烈的季风气候特征，又受地貌形态的严格制约。径流年际变化大，年内分配不均，汛期5－8月或6－9月的径流量占全年径流量55%－70%以上，丰水年与枯水年径流量的比值差达14－22倍。径流量的地区差异与降水量地区差异相一致，在皖西和皖南丘陵山区平均年径流深600－1000毫米，淮北地区仅200毫米左右。</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3．水质</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2021年，全省地表水总体水质状况为良好，监测的146条河流、41个湖泊水库共321个地表水国、省控监测断面（点位）中，</w:t>
      </w:r>
      <w:r>
        <w:rPr>
          <w:rFonts w:hint="eastAsia" w:ascii="宋体" w:hAnsi="宋体" w:cs="宋体"/>
          <w:snapToGrid w:val="0"/>
          <w:kern w:val="0"/>
          <w:sz w:val="32"/>
          <w:szCs w:val="32"/>
        </w:rPr>
        <w:t>Ⅰ</w:t>
      </w:r>
      <w:r>
        <w:rPr>
          <w:rFonts w:ascii="Times New Roman" w:hAnsi="Times New Roman" w:eastAsia="仿宋_GB2312"/>
          <w:snapToGrid w:val="0"/>
          <w:kern w:val="0"/>
          <w:sz w:val="32"/>
          <w:szCs w:val="32"/>
        </w:rPr>
        <w:t>类至</w:t>
      </w:r>
      <w:r>
        <w:rPr>
          <w:rFonts w:hint="eastAsia" w:ascii="宋体" w:hAnsi="宋体" w:cs="宋体"/>
          <w:snapToGrid w:val="0"/>
          <w:kern w:val="0"/>
          <w:sz w:val="32"/>
          <w:szCs w:val="32"/>
        </w:rPr>
        <w:t>Ⅲ</w:t>
      </w:r>
      <w:r>
        <w:rPr>
          <w:rFonts w:ascii="Times New Roman" w:hAnsi="Times New Roman" w:eastAsia="仿宋_GB2312"/>
          <w:snapToGrid w:val="0"/>
          <w:kern w:val="0"/>
          <w:sz w:val="32"/>
          <w:szCs w:val="32"/>
        </w:rPr>
        <w:t>类水质断面（点位）占77.3%，同比上升2.7个百分点，其中</w:t>
      </w:r>
      <w:r>
        <w:rPr>
          <w:rFonts w:hint="eastAsia" w:ascii="宋体" w:hAnsi="宋体" w:cs="宋体"/>
          <w:snapToGrid w:val="0"/>
          <w:kern w:val="0"/>
          <w:sz w:val="32"/>
          <w:szCs w:val="32"/>
        </w:rPr>
        <w:t>Ⅰ</w:t>
      </w:r>
      <w:r>
        <w:rPr>
          <w:rFonts w:ascii="Times New Roman" w:hAnsi="Times New Roman" w:eastAsia="仿宋_GB2312"/>
          <w:snapToGrid w:val="0"/>
          <w:kern w:val="0"/>
          <w:sz w:val="32"/>
          <w:szCs w:val="32"/>
        </w:rPr>
        <w:t>类占2.8%、</w:t>
      </w:r>
      <w:r>
        <w:rPr>
          <w:rFonts w:hint="eastAsia" w:ascii="宋体" w:hAnsi="宋体" w:cs="宋体"/>
          <w:snapToGrid w:val="0"/>
          <w:kern w:val="0"/>
          <w:sz w:val="32"/>
          <w:szCs w:val="32"/>
        </w:rPr>
        <w:t>Ⅱ</w:t>
      </w:r>
      <w:r>
        <w:rPr>
          <w:rFonts w:ascii="Times New Roman" w:hAnsi="Times New Roman" w:eastAsia="仿宋_GB2312"/>
          <w:snapToGrid w:val="0"/>
          <w:kern w:val="0"/>
          <w:sz w:val="32"/>
          <w:szCs w:val="32"/>
        </w:rPr>
        <w:t>类占39.3%、</w:t>
      </w:r>
      <w:r>
        <w:rPr>
          <w:rFonts w:hint="eastAsia" w:ascii="宋体" w:hAnsi="宋体" w:cs="宋体"/>
          <w:snapToGrid w:val="0"/>
          <w:kern w:val="0"/>
          <w:sz w:val="32"/>
          <w:szCs w:val="32"/>
        </w:rPr>
        <w:t>Ⅲ</w:t>
      </w:r>
      <w:r>
        <w:rPr>
          <w:rFonts w:ascii="Times New Roman" w:hAnsi="Times New Roman" w:eastAsia="仿宋_GB2312"/>
          <w:snapToGrid w:val="0"/>
          <w:kern w:val="0"/>
          <w:sz w:val="32"/>
          <w:szCs w:val="32"/>
        </w:rPr>
        <w:t>类占35.2%；无劣</w:t>
      </w:r>
      <w:r>
        <w:rPr>
          <w:rFonts w:hint="eastAsia" w:ascii="宋体" w:hAnsi="宋体" w:cs="宋体"/>
          <w:snapToGrid w:val="0"/>
          <w:kern w:val="0"/>
          <w:sz w:val="32"/>
          <w:szCs w:val="32"/>
        </w:rPr>
        <w:t>Ⅴ</w:t>
      </w:r>
      <w:r>
        <w:rPr>
          <w:rFonts w:ascii="Times New Roman" w:hAnsi="Times New Roman" w:eastAsia="仿宋_GB2312"/>
          <w:snapToGrid w:val="0"/>
          <w:kern w:val="0"/>
          <w:sz w:val="32"/>
          <w:szCs w:val="32"/>
        </w:rPr>
        <w:t>类断面（点位），同比下降0.3个百分点。长江干流、淮河干流、新安江干流总体水质状况持续为优。安徽省长江流域国考断面水质优良比例首次达到92.7%，同比提高2.2个百分点。地下水水质总体保持稳定。</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62" w:name="_Toc25157"/>
      <w:r>
        <w:rPr>
          <w:rFonts w:ascii="Times New Roman" w:hAnsi="Times New Roman" w:eastAsia="楷体_GB2312"/>
          <w:snapToGrid w:val="0"/>
          <w:kern w:val="0"/>
          <w:sz w:val="32"/>
          <w:szCs w:val="32"/>
        </w:rPr>
        <w:t>（三）水生生物资源状况</w:t>
      </w:r>
      <w:bookmarkEnd w:id="62"/>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1．浮游生物资源</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长江水系代表性湖泊，浮游植物优势种为铜绿微囊藻、惠氏微囊藻、螺旋鱼腥藻、小球藻、四尾栅藻、纤维藻属、卵囊藻属、梅尼小环藻、卵形隐藻和尖尾蓝隐藻等，生物量年平均为4.10mg/L。浮游动物由枝角类、桡足类、轮虫等类群组成，生物量年平均为3.35mg/L。枝角类优势种主要有长额象鼻</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、角突网纹</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、盔形</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和短钝</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；桡足类优势种主要有中华窄腹剑水蚤、广布中剑水蚤、指状许水蚤、汤匙华哲水蚤；轮虫优势种主要是臂尾轮虫属、龟甲轮虫属、多肢轮虫属和晶囊轮虫属。</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长江水系代表性水库，浮游植物优势种为克洛脆杆藻、美丽星杆藻、颗粒直链藻、颗粒直链藻极狭变种、单角盘星藻具孔变种等，多为硅藻门和绿藻门浮游植物，生物量年平均为1.04mg/L。浮游动物优势种为矩形龟甲轮虫、暗小异尾轮虫、汤匙华哲水蚤、长刺</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和剑水蚤等，生物量年平均为1.17mg/L。</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淮河水系代表性湖泊，浮游植物优势种群为绿藻门、蓝藻门和硅藻门藻类，其中盘星藻、池生微孢藻、四角盘星藻、小球藻、美丽星杆藻、直链藻、角甲藻、分歧锥囊藻为优势种，生物量年平均为2.27mg/L。浮游动物优势种为壶形砂壳虫、片口砂壳虫、王氏似铃壳虫、蒲达臂尾轮虫、刺簇多肢轮虫、僧帽</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、简弧象鼻</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、长额象鼻</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、广布中剑水蚤等，生物量年平均为1.82mg/L。</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新安江水系代表性水库，浮游植物优势种为硅藻门的颗粒直链藻、颗粒直链藻狭变种、脆杆藻属、针杆藻属，生物量年平均为1.36mg/L。浮游动物优势种为矩形龟甲轮虫、暗小异尾轮虫、汤匙华哲水蚤、长刺</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和剑水蚤等，生物量年平均为1.12mg/L。</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2．底栖生物资源</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大型底栖动物主要分布于湖泊，安徽代表性湖泊水域常见底栖动物共23种，其中环节动物门6种，占26.1%；节肢动物门8种，占34.8%；软体动物门9种，占39.1%。螺蚌类软体动物生物量为178g/m</w:t>
      </w:r>
      <w:r>
        <w:rPr>
          <w:rFonts w:ascii="Times New Roman" w:hAnsi="Times New Roman" w:eastAsia="仿宋_GB2312"/>
          <w:snapToGrid w:val="0"/>
          <w:kern w:val="0"/>
          <w:sz w:val="32"/>
          <w:szCs w:val="32"/>
          <w:vertAlign w:val="superscript"/>
        </w:rPr>
        <w:t>2</w:t>
      </w:r>
      <w:r>
        <w:rPr>
          <w:rFonts w:ascii="Times New Roman" w:hAnsi="Times New Roman" w:eastAsia="仿宋_GB2312"/>
          <w:snapToGrid w:val="0"/>
          <w:kern w:val="0"/>
          <w:sz w:val="32"/>
          <w:szCs w:val="32"/>
        </w:rPr>
        <w:t>，环节动物为7.6g/m</w:t>
      </w:r>
      <w:r>
        <w:rPr>
          <w:rFonts w:ascii="Times New Roman" w:hAnsi="Times New Roman" w:eastAsia="仿宋_GB2312"/>
          <w:snapToGrid w:val="0"/>
          <w:kern w:val="0"/>
          <w:sz w:val="32"/>
          <w:szCs w:val="32"/>
          <w:vertAlign w:val="superscript"/>
        </w:rPr>
        <w:t>2</w:t>
      </w:r>
      <w:r>
        <w:rPr>
          <w:rFonts w:ascii="Times New Roman" w:hAnsi="Times New Roman" w:eastAsia="仿宋_GB2312"/>
          <w:snapToGrid w:val="0"/>
          <w:kern w:val="0"/>
          <w:sz w:val="32"/>
          <w:szCs w:val="32"/>
        </w:rPr>
        <w:t>；节肢动物为2.3g/m</w:t>
      </w:r>
      <w:r>
        <w:rPr>
          <w:rFonts w:ascii="Times New Roman" w:hAnsi="Times New Roman" w:eastAsia="仿宋_GB2312"/>
          <w:snapToGrid w:val="0"/>
          <w:kern w:val="0"/>
          <w:sz w:val="32"/>
          <w:szCs w:val="32"/>
          <w:vertAlign w:val="superscript"/>
        </w:rPr>
        <w:t>2</w:t>
      </w:r>
      <w:r>
        <w:rPr>
          <w:rFonts w:ascii="Times New Roman" w:hAnsi="Times New Roman" w:eastAsia="仿宋_GB2312"/>
          <w:snapToGrid w:val="0"/>
          <w:kern w:val="0"/>
          <w:sz w:val="32"/>
          <w:szCs w:val="32"/>
        </w:rPr>
        <w:t>。</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3．鱼类资源</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安徽渔业资源丰富、种类繁多，重点水域共监测到土著鱼类148种，其中经济价值较高的有青鱼、草鱼、鲢、鳙、鲤、鲫、鳊鲂、刀鲚、鳜、翘嘴</w:t>
      </w:r>
      <w:r>
        <w:rPr>
          <w:rFonts w:ascii="Times New Roman" w:hAnsi="Times New Roman"/>
          <w:snapToGrid w:val="0"/>
          <w:kern w:val="0"/>
          <w:sz w:val="32"/>
          <w:szCs w:val="32"/>
        </w:rPr>
        <w:t>鲌</w:t>
      </w:r>
      <w:r>
        <w:rPr>
          <w:rFonts w:ascii="Times New Roman" w:hAnsi="Times New Roman" w:eastAsia="仿宋_GB2312"/>
          <w:snapToGrid w:val="0"/>
          <w:kern w:val="0"/>
          <w:sz w:val="32"/>
          <w:szCs w:val="32"/>
        </w:rPr>
        <w:t>、</w:t>
      </w:r>
      <w:r>
        <w:rPr>
          <w:rFonts w:ascii="Times New Roman" w:hAnsi="Times New Roman"/>
          <w:snapToGrid w:val="0"/>
          <w:kern w:val="0"/>
          <w:sz w:val="32"/>
          <w:szCs w:val="32"/>
        </w:rPr>
        <w:t>鳡</w:t>
      </w:r>
      <w:r>
        <w:rPr>
          <w:rFonts w:ascii="Times New Roman" w:hAnsi="Times New Roman" w:eastAsia="仿宋_GB2312"/>
          <w:snapToGrid w:val="0"/>
          <w:kern w:val="0"/>
          <w:sz w:val="32"/>
          <w:szCs w:val="32"/>
        </w:rPr>
        <w:t>、黄鳝、鳗鲡等50余种；此外还分布有中华绒螯蟹、日本沼虾、秀丽白虾等6种土著虾蟹类以及乌龟、中华鳖、大鲵等。</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63" w:name="_Toc2277"/>
      <w:r>
        <w:rPr>
          <w:rFonts w:ascii="Times New Roman" w:hAnsi="Times New Roman" w:eastAsia="楷体_GB2312"/>
          <w:snapToGrid w:val="0"/>
          <w:kern w:val="0"/>
          <w:sz w:val="32"/>
          <w:szCs w:val="32"/>
        </w:rPr>
        <w:t>（四）水域环境状况</w:t>
      </w:r>
      <w:bookmarkEnd w:id="63"/>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根据《2021年安徽省生态环境状况公报》，安徽地表水总体水质状况为良好。长江流域监测的54条支流中，36条水质状况为优、14条为良好、4条为轻度污染；流域96个国考断面中，水质优良断面占 92.7%，同比上升2.2个百分点；劣</w:t>
      </w:r>
      <w:r>
        <w:rPr>
          <w:rFonts w:hint="eastAsia" w:ascii="宋体" w:hAnsi="宋体" w:cs="宋体"/>
          <w:snapToGrid w:val="0"/>
          <w:kern w:val="0"/>
          <w:sz w:val="32"/>
          <w:szCs w:val="32"/>
        </w:rPr>
        <w:t>Ⅴ</w:t>
      </w:r>
      <w:r>
        <w:rPr>
          <w:rFonts w:ascii="Times New Roman" w:hAnsi="Times New Roman" w:eastAsia="仿宋_GB2312"/>
          <w:snapToGrid w:val="0"/>
          <w:kern w:val="0"/>
          <w:sz w:val="32"/>
          <w:szCs w:val="32"/>
        </w:rPr>
        <w:t>类断面保持清零。淮河流域监测的63条支流中，17条水质状况为优、26条为良好、19条为轻度污染、1条为中度污染；流域90个国考断面中，水质优良断面占 72.2%，同比上升7.8个百分点；劣</w:t>
      </w:r>
      <w:r>
        <w:rPr>
          <w:rFonts w:hint="eastAsia" w:ascii="宋体" w:hAnsi="宋体" w:cs="宋体"/>
          <w:snapToGrid w:val="0"/>
          <w:kern w:val="0"/>
          <w:sz w:val="32"/>
          <w:szCs w:val="32"/>
        </w:rPr>
        <w:t>Ⅴ</w:t>
      </w:r>
      <w:r>
        <w:rPr>
          <w:rFonts w:ascii="Times New Roman" w:hAnsi="Times New Roman" w:eastAsia="仿宋_GB2312"/>
          <w:snapToGrid w:val="0"/>
          <w:kern w:val="0"/>
          <w:sz w:val="32"/>
          <w:szCs w:val="32"/>
        </w:rPr>
        <w:t>类断面保持清零。新安江流域监测的5条支流中，4条水质状况为优、1条为良好；流域8个国考断面保持水质优良。巢湖全湖及东、西半湖水质均为</w:t>
      </w:r>
      <w:r>
        <w:rPr>
          <w:rFonts w:hint="eastAsia" w:ascii="宋体" w:hAnsi="宋体" w:cs="宋体"/>
          <w:snapToGrid w:val="0"/>
          <w:kern w:val="0"/>
          <w:sz w:val="32"/>
          <w:szCs w:val="32"/>
        </w:rPr>
        <w:t>Ⅳ</w:t>
      </w:r>
      <w:r>
        <w:rPr>
          <w:rFonts w:ascii="Times New Roman" w:hAnsi="Times New Roman" w:eastAsia="仿宋_GB2312"/>
          <w:snapToGrid w:val="0"/>
          <w:kern w:val="0"/>
          <w:sz w:val="32"/>
          <w:szCs w:val="32"/>
        </w:rPr>
        <w:t>类。全省监测的其他40个湖库中，水质为优的湖库12个，水质良好的15个，轻度污染和中度污染的分别为12个和1个，主要污染指标为总磷、化学需氧量和高锰酸盐指数。全省降水pH年均值为5.95，同比上升0.14。全省16个设区市42个集中式生活饮用水水源地，除亳州市地下水水源地因地质原因氟化物超标外，其余15个设区市达标率均为100%。</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64" w:name="_Toc10268"/>
      <w:r>
        <w:rPr>
          <w:rFonts w:ascii="Times New Roman" w:hAnsi="Times New Roman" w:eastAsia="楷体_GB2312"/>
          <w:snapToGrid w:val="0"/>
          <w:kern w:val="0"/>
          <w:sz w:val="32"/>
          <w:szCs w:val="32"/>
        </w:rPr>
        <w:t>（五）水域滩涂承载力评价</w:t>
      </w:r>
      <w:bookmarkEnd w:id="64"/>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水域滩涂资源丰富、类型多样、面积广阔，气候温暖，过境水量和降雨量充沛，水体质量总体状况良好，水生生物资源繁多，渔业自然环境良好，适宜水产养殖业发展。在依法科学划定全省各类养殖功能区的基础上，坚持绿色发展、合理利用，充分发挥渔业的生态功能，在湖泊、水库探索发展大水面生态渔业、净水渔业，将天然水域承载力转化为生产环境保护服务，实现生态保护和渔业生产协调发展。对于池塘养殖区，通过开展基础设施更新改造、推广绿色健康养殖模式、规范养殖行为，促进池塘养殖尾水达标排放或循环利用，实现池塘养殖绿色发展。</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1. 湖泊水库承载力评价</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湖泊水库承载力以湖泊水库鱼产潜力为上限。湖泊水库鱼产潜力与集雨区面积、年地表径流量、人口密度等因素息息相关。受雨水丰歉等影响，鱼产潜力年际变化较大。自然条件下，全省鱼类年生长天数约为275天，省内湖泊鲢鳙平均生产潜力约为0.28吨/公顷，水库鲢鳙平均生产潜力约为0.21吨/公顷。实践中，需根据具体水域多年实际投放量和捕捞量，逐年优化调整，最终确定相对稳定值。</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2．养殖池塘承载力评价</w:t>
      </w:r>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养殖池塘承载力受养殖投入强度、技术水平、管理水平和环境条件等因素影响，差异性较大。以安徽省沿江、沿淮地区标准化养殖池塘平均投入强度、管理水平、气候条件推算，普养池塘鱼类的养殖容量以低于22.5吨/公顷为宜，虾蟹的养殖容量以低于3吨/公顷为宜；设施化、信息化水平较高的精养池塘，其养殖容量以碳氮磷收支平衡为原则，在养殖尾水得到有效处理且达标排放的前提下，可科学提高单位产量。</w:t>
      </w:r>
    </w:p>
    <w:p>
      <w:pPr>
        <w:tabs>
          <w:tab w:val="left" w:pos="0"/>
          <w:tab w:val="left" w:pos="420"/>
        </w:tabs>
        <w:adjustRightInd w:val="0"/>
        <w:snapToGrid w:val="0"/>
        <w:spacing w:line="600" w:lineRule="exact"/>
        <w:ind w:firstLine="640" w:firstLineChars="200"/>
        <w:outlineLvl w:val="1"/>
        <w:rPr>
          <w:rFonts w:ascii="Times New Roman" w:hAnsi="Times New Roman" w:eastAsia="楷体_GB2312"/>
          <w:snapToGrid w:val="0"/>
          <w:kern w:val="0"/>
          <w:sz w:val="32"/>
          <w:szCs w:val="32"/>
          <w:lang w:val="zh-CN"/>
        </w:rPr>
      </w:pPr>
      <w:bookmarkStart w:id="65" w:name="_Toc130907262"/>
      <w:bookmarkStart w:id="66" w:name="_Toc418774446"/>
      <w:bookmarkStart w:id="67" w:name="_Toc12255"/>
      <w:bookmarkStart w:id="68" w:name="_Toc615177585"/>
      <w:bookmarkStart w:id="69" w:name="_Toc20534"/>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第七节　水产养殖业发展分析</w:t>
      </w:r>
      <w:bookmarkEnd w:id="65"/>
      <w:bookmarkEnd w:id="66"/>
      <w:bookmarkEnd w:id="67"/>
      <w:bookmarkEnd w:id="68"/>
      <w:bookmarkEnd w:id="69"/>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70" w:name="_Toc19536"/>
      <w:r>
        <w:rPr>
          <w:rFonts w:ascii="Times New Roman" w:hAnsi="Times New Roman" w:eastAsia="楷体_GB2312"/>
          <w:snapToGrid w:val="0"/>
          <w:kern w:val="0"/>
          <w:sz w:val="32"/>
          <w:szCs w:val="32"/>
        </w:rPr>
        <w:t>（一）水产养殖业发展现状</w:t>
      </w:r>
      <w:bookmarkEnd w:id="70"/>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1．产业发展情况</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是全国内陆渔业大省，长三角地区重要的淡水产品生产供应基地。2021年，全省水产养殖总面积41.5万公顷，其中池塘19.6万公顷、湖泊9.6万公顷、水库7.6万公顷、河沟和其他4.7万公顷、工厂化集约化水产养殖114.6万立方水体。稻渔综合种养发展到39.6万公顷。全省水产品总产量236.5万吨，其中养殖产量224.2万吨，捕捞产量12.3万吨。水产养殖的主要品种有“四大家鱼”、鲫、鳊鲂、鳜、鲈、黄颡鱼、黄鳝、泥鳅、乌鳢、克氏原螯虾、青虾、河蟹、中华鳖、乌龟等，其中养殖鱼类产量148.5万吨，虾蟹产量65.4万吨，龟鳖产量4.8万吨。全省水产品外销量约80万吨，其中90%销往沪苏浙地区，以克氏原螯虾、河蟹、青虾、龟鳖、黄鳝、泥鳅等优质特色水产品为主。</w:t>
      </w:r>
    </w:p>
    <w:p>
      <w:pPr>
        <w:adjustRightInd w:val="0"/>
        <w:snapToGrid w:val="0"/>
        <w:spacing w:line="600" w:lineRule="exact"/>
        <w:jc w:val="center"/>
        <w:rPr>
          <w:rFonts w:ascii="Times New Roman" w:hAnsi="Times New Roman" w:eastAsia="黑体"/>
          <w:snapToGrid w:val="0"/>
          <w:kern w:val="0"/>
          <w:sz w:val="32"/>
          <w:szCs w:val="32"/>
        </w:rPr>
      </w:pPr>
      <w:r>
        <w:rPr>
          <w:rFonts w:ascii="Times New Roman" w:hAnsi="Times New Roman" w:eastAsia="黑体"/>
          <w:snapToGrid w:val="0"/>
          <w:kern w:val="0"/>
          <w:sz w:val="32"/>
          <w:szCs w:val="32"/>
        </w:rPr>
        <w:t>2021年安徽省水产品养殖产量情况</w:t>
      </w:r>
    </w:p>
    <w:p>
      <w:pPr>
        <w:adjustRightInd w:val="0"/>
        <w:snapToGrid w:val="0"/>
        <w:spacing w:line="600" w:lineRule="exact"/>
        <w:jc w:val="center"/>
        <w:rPr>
          <w:rFonts w:ascii="Times New Roman" w:hAnsi="Times New Roman" w:eastAsia="仿宋_GB2312"/>
          <w:snapToGrid w:val="0"/>
          <w:sz w:val="28"/>
          <w:szCs w:val="28"/>
        </w:rPr>
      </w:pPr>
      <w:r>
        <w:rPr>
          <w:rFonts w:ascii="Times New Roman" w:hAnsi="Times New Roman" w:eastAsia="仿宋_GB2312"/>
          <w:snapToGrid w:val="0"/>
          <w:sz w:val="28"/>
          <w:szCs w:val="28"/>
        </w:rPr>
        <w:t>　　　　　　　　　　　　　　　　　　　　　　　　 单位：吨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4"/>
        <w:gridCol w:w="1294"/>
        <w:gridCol w:w="1294"/>
        <w:gridCol w:w="1294"/>
        <w:gridCol w:w="129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地级市</w:t>
            </w:r>
          </w:p>
        </w:tc>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养殖</w:t>
            </w:r>
          </w:p>
          <w:p>
            <w:pPr>
              <w:spacing w:line="360" w:lineRule="exact"/>
              <w:jc w:val="center"/>
              <w:rPr>
                <w:rFonts w:ascii="Times New Roman" w:hAnsi="Times New Roman" w:eastAsia="黑体"/>
                <w:sz w:val="24"/>
                <w:szCs w:val="24"/>
              </w:rPr>
            </w:pPr>
            <w:r>
              <w:rPr>
                <w:rFonts w:ascii="Times New Roman" w:hAnsi="Times New Roman" w:eastAsia="黑体"/>
                <w:sz w:val="24"/>
                <w:szCs w:val="24"/>
              </w:rPr>
              <w:t>产量</w:t>
            </w:r>
          </w:p>
        </w:tc>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鱼类</w:t>
            </w:r>
          </w:p>
        </w:tc>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lang w:bidi="ar"/>
              </w:rPr>
              <w:t>虾类</w:t>
            </w:r>
          </w:p>
        </w:tc>
        <w:tc>
          <w:tcPr>
            <w:tcW w:w="714" w:type="pct"/>
            <w:vAlign w:val="center"/>
          </w:tcPr>
          <w:p>
            <w:pPr>
              <w:widowControl/>
              <w:spacing w:line="360" w:lineRule="exact"/>
              <w:jc w:val="center"/>
              <w:rPr>
                <w:rFonts w:ascii="Times New Roman" w:hAnsi="Times New Roman" w:eastAsia="黑体"/>
                <w:sz w:val="24"/>
                <w:szCs w:val="24"/>
                <w:lang w:bidi="ar"/>
              </w:rPr>
            </w:pPr>
            <w:r>
              <w:rPr>
                <w:rFonts w:ascii="Times New Roman" w:hAnsi="Times New Roman" w:eastAsia="黑体"/>
                <w:sz w:val="24"/>
                <w:szCs w:val="24"/>
                <w:lang w:bidi="ar"/>
              </w:rPr>
              <w:t>河蟹</w:t>
            </w:r>
          </w:p>
        </w:tc>
        <w:tc>
          <w:tcPr>
            <w:tcW w:w="714" w:type="pct"/>
            <w:vAlign w:val="center"/>
          </w:tcPr>
          <w:p>
            <w:pPr>
              <w:widowControl/>
              <w:spacing w:line="360" w:lineRule="exact"/>
              <w:jc w:val="center"/>
              <w:rPr>
                <w:rFonts w:ascii="Times New Roman" w:hAnsi="Times New Roman" w:eastAsia="黑体"/>
                <w:sz w:val="24"/>
                <w:szCs w:val="24"/>
                <w:lang w:bidi="ar"/>
              </w:rPr>
            </w:pPr>
            <w:r>
              <w:rPr>
                <w:rFonts w:ascii="Times New Roman" w:hAnsi="Times New Roman" w:eastAsia="黑体"/>
                <w:sz w:val="24"/>
                <w:szCs w:val="24"/>
                <w:lang w:bidi="ar"/>
              </w:rPr>
              <w:t>贝类</w:t>
            </w:r>
          </w:p>
        </w:tc>
        <w:tc>
          <w:tcPr>
            <w:tcW w:w="717" w:type="pct"/>
            <w:vAlign w:val="center"/>
          </w:tcPr>
          <w:p>
            <w:pPr>
              <w:widowControl/>
              <w:spacing w:line="360" w:lineRule="exact"/>
              <w:jc w:val="center"/>
              <w:rPr>
                <w:rFonts w:ascii="Times New Roman" w:hAnsi="Times New Roman" w:eastAsia="黑体"/>
                <w:sz w:val="24"/>
                <w:szCs w:val="24"/>
                <w:lang w:bidi="ar"/>
              </w:rPr>
            </w:pPr>
            <w:r>
              <w:rPr>
                <w:rFonts w:ascii="Times New Roman" w:hAnsi="Times New Roman" w:eastAsia="黑体"/>
                <w:sz w:val="24"/>
                <w:szCs w:val="24"/>
                <w:lang w:bidi="ar"/>
              </w:rPr>
              <w:t>龟鳖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安徽省</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2242195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1484594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550922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103552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47298</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47745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合肥市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221624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111780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102714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3525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783</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淮北市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25683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25573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63</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亳州市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49848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44878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4664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256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宿州市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43440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38948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2206</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1464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蚌埠市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112408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78344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15887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5107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83</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阜阳市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98750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65634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27424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1730</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1134</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淮南市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147972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114975</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24819</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3249</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2118</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滁州市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358844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227581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95237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28543</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5391</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六安市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227384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118874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101670</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468</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1479</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马鞍山市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118101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57373</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29152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22386</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8456</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芜湖市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171124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114318</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20760</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19923</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3636</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宣城市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102243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53982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31225</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12262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920</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铜陵市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106550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77426</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18111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817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7892</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池州市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140762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112817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17944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278</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7241</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安庆市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305483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231042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58469</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3497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8120</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黄山市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11979</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11049</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577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45</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67</w:t>
            </w:r>
          </w:p>
        </w:tc>
      </w:tr>
    </w:tbl>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2．养殖方式</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全省水域滩涂主要养殖方式包括池塘养殖、工厂化设施养殖、湖库增养殖。大多数池塘养殖采用精养、半精养方式，主要放养鱼类、虾蟹、龟鳖等，池塘精养配备增氧机、投饵机等设备，发挥饵料和水体的生产潜力，水域资源利用程度较高。工厂化设施养殖包括集装箱、圈养桶、封闭式循环水养殖，重点养殖龟鳖、鲟鱼、鲈鱼、南美白对虾等名特优水产品，经济效益较高。湖库等大水面增养殖，多采用“人放天养”“轮捕轮放”“捕大留（补）小”等“放牧式”增养殖方式，通过放养滤食性、草食性、杂食性等鱼类品种，“以渔养水、以渔净水”效果明显，对控制水质富营养化和改善水域生态环境具有重要作用。44个水生生物保护区、长江干流安徽段及其8条重要支流全面实施禁捕，沿江、沿淮等地设立自然保护区的湖泊已依法依规退出渔业生产功能，河沟及小型水库、当家塘等类型水域尚有较大拓展利用空间。</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3．产值效益</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2021年，按当年价格计算，安徽渔业经济总产值1018.1亿元，其中，渔业产值648.9亿元，渔业工业和建筑业产值136.8亿元，渔业服务和流通业产值232.4亿元。渔民家庭总收入68828元，渔民人均纯收入22343.4元。</w:t>
      </w:r>
    </w:p>
    <w:p>
      <w:pPr>
        <w:adjustRightInd w:val="0"/>
        <w:snapToGrid w:val="0"/>
        <w:spacing w:line="600" w:lineRule="exact"/>
        <w:jc w:val="center"/>
        <w:rPr>
          <w:rFonts w:ascii="Times New Roman" w:hAnsi="Times New Roman" w:eastAsia="黑体"/>
          <w:snapToGrid w:val="0"/>
          <w:kern w:val="0"/>
          <w:sz w:val="32"/>
          <w:szCs w:val="32"/>
        </w:rPr>
      </w:pPr>
      <w:r>
        <w:rPr>
          <w:rFonts w:ascii="Times New Roman" w:hAnsi="Times New Roman" w:eastAsia="黑体"/>
          <w:snapToGrid w:val="0"/>
          <w:kern w:val="0"/>
          <w:sz w:val="32"/>
          <w:szCs w:val="32"/>
        </w:rPr>
        <w:t>2021年安徽省水产养殖面积</w:t>
      </w:r>
    </w:p>
    <w:p>
      <w:pPr>
        <w:adjustRightInd w:val="0"/>
        <w:snapToGrid w:val="0"/>
        <w:spacing w:line="600" w:lineRule="exact"/>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　　　　　　　　　　　　　　　　　　　　　　　　　　　　</w:t>
      </w:r>
      <w:r>
        <w:rPr>
          <w:rFonts w:ascii="Times New Roman" w:hAnsi="Times New Roman" w:eastAsia="仿宋_GB2312"/>
          <w:snapToGrid w:val="0"/>
          <w:sz w:val="28"/>
          <w:szCs w:val="28"/>
        </w:rPr>
        <w:t>单位：公顷</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4"/>
        <w:gridCol w:w="1294"/>
        <w:gridCol w:w="1294"/>
        <w:gridCol w:w="1294"/>
        <w:gridCol w:w="129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地级市</w:t>
            </w:r>
          </w:p>
        </w:tc>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养殖</w:t>
            </w:r>
          </w:p>
          <w:p>
            <w:pPr>
              <w:spacing w:line="360" w:lineRule="exact"/>
              <w:jc w:val="center"/>
              <w:rPr>
                <w:rFonts w:ascii="Times New Roman" w:hAnsi="Times New Roman" w:eastAsia="黑体"/>
                <w:sz w:val="24"/>
                <w:szCs w:val="24"/>
              </w:rPr>
            </w:pPr>
            <w:r>
              <w:rPr>
                <w:rFonts w:ascii="Times New Roman" w:hAnsi="Times New Roman" w:eastAsia="黑体"/>
                <w:sz w:val="24"/>
                <w:szCs w:val="24"/>
              </w:rPr>
              <w:t>面积</w:t>
            </w:r>
          </w:p>
        </w:tc>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池塘</w:t>
            </w:r>
          </w:p>
        </w:tc>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湖泊</w:t>
            </w:r>
          </w:p>
        </w:tc>
        <w:tc>
          <w:tcPr>
            <w:tcW w:w="714" w:type="pct"/>
            <w:vAlign w:val="center"/>
          </w:tcPr>
          <w:p>
            <w:pPr>
              <w:widowControl/>
              <w:spacing w:line="360" w:lineRule="exact"/>
              <w:jc w:val="center"/>
              <w:rPr>
                <w:rFonts w:ascii="Times New Roman" w:hAnsi="Times New Roman" w:eastAsia="黑体"/>
                <w:sz w:val="24"/>
                <w:szCs w:val="24"/>
                <w:lang w:bidi="ar"/>
              </w:rPr>
            </w:pPr>
            <w:r>
              <w:rPr>
                <w:rFonts w:ascii="Times New Roman" w:hAnsi="Times New Roman" w:eastAsia="黑体"/>
                <w:sz w:val="24"/>
                <w:szCs w:val="24"/>
                <w:lang w:bidi="ar"/>
              </w:rPr>
              <w:t>水库</w:t>
            </w:r>
          </w:p>
        </w:tc>
        <w:tc>
          <w:tcPr>
            <w:tcW w:w="714" w:type="pct"/>
            <w:vAlign w:val="center"/>
          </w:tcPr>
          <w:p>
            <w:pPr>
              <w:widowControl/>
              <w:spacing w:line="360" w:lineRule="exact"/>
              <w:jc w:val="center"/>
              <w:rPr>
                <w:rFonts w:ascii="Times New Roman" w:hAnsi="Times New Roman" w:eastAsia="黑体"/>
                <w:sz w:val="24"/>
                <w:szCs w:val="24"/>
                <w:lang w:bidi="ar"/>
              </w:rPr>
            </w:pPr>
            <w:r>
              <w:rPr>
                <w:rFonts w:ascii="Times New Roman" w:hAnsi="Times New Roman" w:eastAsia="黑体"/>
                <w:sz w:val="24"/>
                <w:szCs w:val="24"/>
                <w:lang w:bidi="ar"/>
              </w:rPr>
              <w:t>河沟</w:t>
            </w:r>
          </w:p>
        </w:tc>
        <w:tc>
          <w:tcPr>
            <w:tcW w:w="717" w:type="pct"/>
            <w:vAlign w:val="center"/>
          </w:tcPr>
          <w:p>
            <w:pPr>
              <w:widowControl/>
              <w:spacing w:line="360" w:lineRule="exact"/>
              <w:jc w:val="center"/>
              <w:rPr>
                <w:rFonts w:ascii="Times New Roman" w:hAnsi="Times New Roman" w:eastAsia="黑体"/>
                <w:sz w:val="24"/>
                <w:szCs w:val="24"/>
                <w:lang w:bidi="ar"/>
              </w:rPr>
            </w:pPr>
            <w:r>
              <w:rPr>
                <w:rFonts w:ascii="Times New Roman" w:hAnsi="Times New Roman" w:eastAsia="黑体"/>
                <w:sz w:val="24"/>
                <w:szCs w:val="24"/>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安徽省</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414955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195927</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95746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76246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40631</w:t>
            </w:r>
          </w:p>
        </w:tc>
        <w:tc>
          <w:tcPr>
            <w:tcW w:w="717"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合肥市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30123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20523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7227</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1923</w:t>
            </w:r>
          </w:p>
        </w:tc>
        <w:tc>
          <w:tcPr>
            <w:tcW w:w="717"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淮北市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3838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1718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2049</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37</w:t>
            </w:r>
          </w:p>
        </w:tc>
        <w:tc>
          <w:tcPr>
            <w:tcW w:w="717"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亳州市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12655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6609</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6046</w:t>
            </w:r>
          </w:p>
        </w:tc>
        <w:tc>
          <w:tcPr>
            <w:tcW w:w="717"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宿州市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8117</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6005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227</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258</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1627</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蚌埠市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19022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6822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9211</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592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2339</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阜阳市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23168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13850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6307</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2953</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淮南市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39935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14056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17902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5900</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1206</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滁州市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63582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22582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16042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23151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1657</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六安市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47340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22544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4093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19533</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896</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马鞍山市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19731</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8314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322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1447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9498</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芜湖市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35090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23361</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6609</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730</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4101</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宣城市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14385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7680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79</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1191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4508</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铜陵市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18093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7781</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7950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362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1986</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池州市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22595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5416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12570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1741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1156</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安庆市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47036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27628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12385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4966</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691</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黄山市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10245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1038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9128</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7</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72</w:t>
            </w:r>
          </w:p>
        </w:tc>
      </w:tr>
    </w:tbl>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71" w:name="_Toc28678"/>
      <w:r>
        <w:rPr>
          <w:rFonts w:ascii="Times New Roman" w:hAnsi="Times New Roman" w:eastAsia="楷体_GB2312"/>
          <w:snapToGrid w:val="0"/>
          <w:kern w:val="0"/>
          <w:sz w:val="32"/>
          <w:szCs w:val="32"/>
        </w:rPr>
        <w:t>（二）水产养殖产业发展环境</w:t>
      </w:r>
      <w:bookmarkEnd w:id="71"/>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1．区位条件</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是长三角经济区的重要组成部分，处于全国经济发展的战略要冲和国内几大经济板块的对接地带，经济、文化同长三角经济区其他地区有着历史和天然的联系。延绵八百里的沿江城市群和长江经济带，内拥长江黄金水道，外承沿海地区经济辐射，具有得天独厚的发展条件。经过多年大规模建设，立体的交通网络日趋完善，全省铁路密度和高等级公路密度居中部地区前列，承东启西、连南接北的区位优势更加凸显。区位优势和渔业资源优势，为推进水产养殖业绿色健康发展和转型升级，建立长三角地区绿色优质水产品生产加工供应基地，打造千亿元绿色食品水产产业提供了动力支撑和有利条件。</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2．政策环境</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党中央、国务院和省委、省政府始终把“三农”工作摆在“重中之重”的位置，坚持农业农村优先发展，强调要保障粮食和重要农产品稳定安全供给，坚持产量产能一起抓、数量质量一起抓、生产生态一起抓，增强农业产业链供应链韧性和稳定性。提出要树立大食物观，向江河湖海要食物，全方位、多途径开发食物资源，构建多元化食品供给体系。渔业是农业农村经济的重要组成部分，是粮食安全的重要内容，是农民就业增收的支柱产业，同时兼具生态修复等功能。发展渔业生产，是贯彻落实大食物观的重要措施。随着全面推进乡村振兴、建设生态文明以及长三角区域一体化等发展战略的深入实施，我省大力推进“两强一增”行动，将为推进渔业高质量发展和农业强省建设提供新的历史机遇。</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3．经济环境</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现有16个地级市，104个县（市、区）。2021年全省生产总值（GDP）42959.2亿元，比上年增长8.3%。其中，第一产业增加值3360.6亿元，增长7.4%；第二产业增加值17613.2亿元，增长7.9%；第三产业增加值21985.4亿元，增长8.7%，经济发展稳定向好。年末全省常住人口6113万人。安徽经济总量和财力保障有条件为水产养殖业发展提供有力支撑。</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72" w:name="_Toc7476"/>
      <w:r>
        <w:rPr>
          <w:rFonts w:ascii="Times New Roman" w:hAnsi="Times New Roman" w:eastAsia="楷体_GB2312"/>
          <w:snapToGrid w:val="0"/>
          <w:kern w:val="0"/>
          <w:sz w:val="32"/>
          <w:szCs w:val="32"/>
        </w:rPr>
        <w:t>（三）水产养殖业前景预测</w:t>
      </w:r>
      <w:bookmarkEnd w:id="72"/>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水产品是人类食物蛋白质的第三大来源，是保障粮食安全的重要内容。从世界发展形势来看，天然渔业资源大部分已呈现充分利用或者过度利用状态，随着人口的不断增加和生活水平的不断提高，人民对水产品的需求将会持续增加，未来渔业发展和水产品持续供应将主要依靠水产养殖业，预计未来10年，水产养殖占全球鱼品消费量比例有望超过60%。近年来，我国城乡居民对优质安全水产品和优美水域生态环境的需求日益增长，通过仓储冷链物流、电子商务发展，水产品由过去的区域性、季节性消费转为全民消费、常年消费，水产预制菜等高品质加工产品需求持续增长，渔业文化、休闲体验等消费成为渔业经济新的增长点，现代生物技术为渔业种质资源保护、新品种培育、生态健康养殖提供了有力支撑。安徽作为淡水水产养殖大省，紧紧抓住渔业高质量发展和加快现代化的重要战略机遇期，加大水产养殖政策支持力度，加强养殖科学布局、转变养殖方式、改善养殖生产环境、强化生产监管，发展优势特色水产养殖业大有可为，渔业发展前景广阔。</w:t>
      </w:r>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p>
    <w:p>
      <w:pPr>
        <w:tabs>
          <w:tab w:val="left" w:pos="7584"/>
        </w:tabs>
        <w:overflowPunct w:val="0"/>
        <w:adjustRightInd w:val="0"/>
        <w:snapToGrid w:val="0"/>
        <w:spacing w:line="600" w:lineRule="exact"/>
        <w:jc w:val="center"/>
        <w:rPr>
          <w:rFonts w:ascii="Times New Roman" w:hAnsi="Times New Roman" w:eastAsia="楷体_GB2312"/>
          <w:snapToGrid w:val="0"/>
          <w:kern w:val="0"/>
          <w:sz w:val="32"/>
          <w:szCs w:val="32"/>
          <w:lang w:val="zh-CN"/>
        </w:rPr>
      </w:pPr>
      <w:bookmarkStart w:id="73" w:name="_Toc130907263"/>
      <w:bookmarkStart w:id="74" w:name="_Toc614"/>
      <w:bookmarkStart w:id="75" w:name="_Toc6989"/>
      <w:bookmarkStart w:id="76" w:name="_Toc862507898"/>
      <w:bookmarkStart w:id="77" w:name="_Toc1628336655"/>
      <w:r>
        <w:rPr>
          <w:rFonts w:ascii="Times New Roman" w:hAnsi="Times New Roman" w:eastAsia="楷体_GB2312"/>
          <w:snapToGrid w:val="0"/>
          <w:kern w:val="0"/>
          <w:sz w:val="32"/>
          <w:szCs w:val="32"/>
          <w:lang w:val="zh-CN"/>
        </w:rPr>
        <w:t>第八节　养殖水域滩涂开发总体思路</w:t>
      </w:r>
      <w:bookmarkEnd w:id="73"/>
      <w:bookmarkEnd w:id="74"/>
      <w:bookmarkEnd w:id="75"/>
      <w:bookmarkEnd w:id="76"/>
      <w:bookmarkEnd w:id="77"/>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坚持以习近平</w:t>
      </w:r>
      <w:r>
        <w:fldChar w:fldCharType="begin"/>
      </w:r>
      <w:r>
        <w:instrText xml:space="preserve"> HYPERLINK "http://wd.nongji360.com/product/list?b=1593" \t "https://m.nongji360.com/view/_blank" </w:instrText>
      </w:r>
      <w:r>
        <w:fldChar w:fldCharType="separate"/>
      </w:r>
      <w:r>
        <w:rPr>
          <w:rFonts w:ascii="Times New Roman" w:hAnsi="Times New Roman" w:eastAsia="仿宋_GB2312"/>
          <w:snapToGrid w:val="0"/>
          <w:kern w:val="0"/>
          <w:sz w:val="32"/>
          <w:szCs w:val="32"/>
        </w:rPr>
        <w:t>新时代</w:t>
      </w:r>
      <w:r>
        <w:rPr>
          <w:rFonts w:ascii="Times New Roman" w:hAnsi="Times New Roman" w:eastAsia="仿宋_GB2312"/>
          <w:snapToGrid w:val="0"/>
          <w:kern w:val="0"/>
          <w:sz w:val="32"/>
          <w:szCs w:val="32"/>
        </w:rPr>
        <w:fldChar w:fldCharType="end"/>
      </w:r>
      <w:r>
        <w:rPr>
          <w:rFonts w:ascii="Times New Roman" w:hAnsi="Times New Roman" w:eastAsia="仿宋_GB2312"/>
          <w:snapToGrid w:val="0"/>
          <w:kern w:val="0"/>
          <w:sz w:val="32"/>
          <w:szCs w:val="32"/>
        </w:rPr>
        <w:t>中国特色社会主义思想为指导，以实施乡村振兴战略为引领，以深化渔业供给侧结构性改革为主线，以满足人民对优美水域生态环境和优质水产品的需求为目标，立足安徽资源禀赋，根据全省水域承载力分析和渔业水域特点，坚持宜渔则渔，坚持数量和质量并重、生产和生态协调、发展和安全统筹，科学划定禁止养殖区、限制养殖区和养殖区，综合运用规划引领、政策扶持、科技支撑、改革创新等手段，巩固提升渔业综合生产能力，扎实推进渔业绿色发展，充分发挥渔业在生态系统治理中的特有功能，形成同市场需求相适应、同资源环境承载力相匹配的渔业空间格局、产业结构和生产方式，不断提高水产品稳产保供水平，持续促进生态环境改善、渔业增效和渔民增收，推动我省由水产养殖业大省向水产养殖业强省转变。</w:t>
      </w:r>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在养殖空间开发方面，加强对饮用水源地、自然保护区、水产种质资源保护区等生态敏感区的管理，采取划定禁止养殖区和限制养殖区，养护水生生物资源，改善水域生态环境。按照“一水一策”原则，推进大水面生态渔业发展，合理选择大水面生态渔业利用方式，充分发挥渔业的生态功能，科学合理利用渔业资源，实现生态保护与渔业发展协调发展。开展养殖池塘标准化改造和尾水达标治理，因地制宜推广工程化循环水养殖、集装箱式养殖、池塘绿色健康养殖，促进渔业绿色循环发展。</w:t>
      </w:r>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p>
    <w:p>
      <w:pPr>
        <w:tabs>
          <w:tab w:val="left" w:pos="420"/>
        </w:tabs>
        <w:adjustRightInd w:val="0"/>
        <w:snapToGrid w:val="0"/>
        <w:spacing w:line="600" w:lineRule="exact"/>
        <w:outlineLvl w:val="0"/>
        <w:rPr>
          <w:rFonts w:ascii="Times New Roman" w:hAnsi="Times New Roman" w:eastAsia="黑体"/>
          <w:snapToGrid w:val="0"/>
          <w:kern w:val="0"/>
          <w:sz w:val="32"/>
          <w:szCs w:val="32"/>
        </w:rPr>
      </w:pPr>
      <w:bookmarkStart w:id="78" w:name="_Toc1850686996"/>
      <w:bookmarkStart w:id="79" w:name="_Toc130907264"/>
      <w:bookmarkStart w:id="80" w:name="_Toc11151"/>
      <w:bookmarkStart w:id="81" w:name="_Toc1442"/>
      <w:bookmarkStart w:id="82" w:name="_Toc1915524021"/>
    </w:p>
    <w:p>
      <w:pPr>
        <w:tabs>
          <w:tab w:val="left" w:pos="420"/>
        </w:tabs>
        <w:adjustRightInd w:val="0"/>
        <w:snapToGrid w:val="0"/>
        <w:spacing w:line="600" w:lineRule="exact"/>
        <w:jc w:val="center"/>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第三章　养殖水域滩涂功能区划</w:t>
      </w:r>
      <w:bookmarkEnd w:id="78"/>
      <w:bookmarkEnd w:id="79"/>
      <w:bookmarkEnd w:id="80"/>
      <w:bookmarkEnd w:id="81"/>
      <w:bookmarkEnd w:id="82"/>
    </w:p>
    <w:p>
      <w:pPr>
        <w:adjustRightInd w:val="0"/>
        <w:snapToGrid w:val="0"/>
        <w:spacing w:line="600" w:lineRule="exact"/>
        <w:jc w:val="center"/>
        <w:rPr>
          <w:rFonts w:ascii="Times New Roman" w:hAnsi="Times New Roman" w:eastAsia="楷体_GB2312"/>
          <w:snapToGrid w:val="0"/>
          <w:kern w:val="0"/>
          <w:sz w:val="32"/>
          <w:szCs w:val="32"/>
          <w:lang w:val="zh-CN"/>
        </w:rPr>
      </w:pPr>
      <w:bookmarkStart w:id="83" w:name="_Toc2312"/>
      <w:bookmarkStart w:id="84" w:name="_Toc130907265"/>
      <w:bookmarkStart w:id="85" w:name="_Toc7366"/>
      <w:bookmarkStart w:id="86" w:name="_Toc222106331"/>
      <w:bookmarkStart w:id="87" w:name="_Toc2125626592"/>
    </w:p>
    <w:p>
      <w:pPr>
        <w:adjustRightInd w:val="0"/>
        <w:snapToGrid w:val="0"/>
        <w:spacing w:line="600" w:lineRule="exact"/>
        <w:jc w:val="center"/>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第九节　功能区划概述</w:t>
      </w:r>
      <w:bookmarkEnd w:id="83"/>
      <w:bookmarkEnd w:id="84"/>
      <w:bookmarkEnd w:id="85"/>
      <w:bookmarkEnd w:id="86"/>
      <w:bookmarkEnd w:id="87"/>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根据原农业部《养殖水域滩涂规划编制工作规范》和《养殖水域滩涂规划编制大纲》要求及相关法律法规文件，结合安徽省水域滩涂分布特点、资源开发现状及渔业高质量发展要求，以2020年国土变更调查成果和“三区三线”划定成果为底图，将全省养殖水域滩涂划定为禁止养殖区、限制养殖区和养殖区3类功能区，并提出相应管理措施。</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全省已进行水产养殖开发利用和目前尚未开发利用全民、集体所有的水域滩涂中，纳入规划总面积为123.24万公顷。其中，规划禁止养殖区面积59.4万公顷、限制养殖区面积33.6万公顷、养殖区面积30.24万公顷，分别占水域滩涂总面积48.2%、27.3%、24.5%。</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养殖水域滩涂禁止养殖区、限制养殖区和养殖区等“三区”分布及规划功能见附件1。</w:t>
      </w:r>
    </w:p>
    <w:p>
      <w:pPr>
        <w:tabs>
          <w:tab w:val="left" w:pos="0"/>
          <w:tab w:val="left" w:pos="420"/>
        </w:tabs>
        <w:adjustRightInd w:val="0"/>
        <w:snapToGrid w:val="0"/>
        <w:spacing w:line="600" w:lineRule="exact"/>
        <w:outlineLvl w:val="1"/>
        <w:rPr>
          <w:rFonts w:ascii="Times New Roman" w:hAnsi="Times New Roman" w:eastAsia="楷体_GB2312"/>
          <w:snapToGrid w:val="0"/>
          <w:kern w:val="0"/>
          <w:sz w:val="32"/>
          <w:szCs w:val="32"/>
          <w:lang w:val="zh-CN"/>
        </w:rPr>
      </w:pPr>
      <w:bookmarkStart w:id="88" w:name="_Toc27168"/>
      <w:bookmarkStart w:id="89" w:name="_Toc31796"/>
      <w:bookmarkStart w:id="90" w:name="_Toc1304580029"/>
      <w:bookmarkStart w:id="91" w:name="_Toc794974654"/>
      <w:bookmarkStart w:id="92" w:name="_Toc130907266"/>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第十节　禁止养殖区</w:t>
      </w:r>
      <w:bookmarkEnd w:id="88"/>
      <w:bookmarkEnd w:id="89"/>
      <w:bookmarkEnd w:id="90"/>
      <w:bookmarkEnd w:id="91"/>
      <w:bookmarkEnd w:id="92"/>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93" w:name="_Toc31899"/>
      <w:bookmarkStart w:id="94" w:name="_Toc4435"/>
      <w:r>
        <w:rPr>
          <w:rFonts w:ascii="Times New Roman" w:hAnsi="Times New Roman" w:eastAsia="楷体_GB2312"/>
          <w:snapToGrid w:val="0"/>
          <w:kern w:val="0"/>
          <w:sz w:val="32"/>
          <w:szCs w:val="32"/>
        </w:rPr>
        <w:t>（一）禁止养殖区类型、面积及位置</w:t>
      </w:r>
      <w:bookmarkEnd w:id="93"/>
      <w:bookmarkEnd w:id="94"/>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全省禁止养殖区水域滩涂面积约59.4万公顷，主要包括以下类型，具体名录见附件2。</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1．饮用水水源地一级保护区169处。</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2．自然保护区核心区及缓冲区（核心保护区）41处。</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3．水产种质资源保护区核心区37处（含河道类型的实验区）。</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4．港口作业区、航道保护区、行洪区、河道堤防安全保护区等公共设施安全区域。主要包括内河重点航道5775.86千米，内河主要港口16处，安徽段长江、淮河及其他开放性河流河道行洪区、堤防安全区。</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5．有毒有害物质超过规定标准的水体。</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6．法律法规规定的其他禁止从事水产养殖的区域。</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95" w:name="_Toc14232"/>
      <w:r>
        <w:rPr>
          <w:rFonts w:ascii="Times New Roman" w:hAnsi="Times New Roman" w:eastAsia="楷体_GB2312"/>
          <w:snapToGrid w:val="0"/>
          <w:kern w:val="0"/>
          <w:sz w:val="32"/>
          <w:szCs w:val="32"/>
        </w:rPr>
        <w:t>（二）管理措施</w:t>
      </w:r>
      <w:bookmarkEnd w:id="95"/>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1．禁止水产养殖行为。</w:t>
      </w:r>
      <w:r>
        <w:rPr>
          <w:rFonts w:ascii="Times New Roman" w:hAnsi="Times New Roman" w:eastAsia="仿宋_GB2312"/>
          <w:snapToGrid w:val="0"/>
          <w:kern w:val="0"/>
          <w:sz w:val="32"/>
          <w:szCs w:val="32"/>
        </w:rPr>
        <w:t>禁止养殖区内禁止开展人工水产养殖活动，严禁办理水域滩涂养殖证。禁止养殖区内的水产养殖，由当地人民政府及相关部门负责限期搬迁或关停。因科学研究的需要，按照有关法律、法规、规章规定执行。</w:t>
      </w:r>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2．依法开展补偿安置。</w:t>
      </w:r>
      <w:r>
        <w:rPr>
          <w:rFonts w:ascii="Times New Roman" w:hAnsi="Times New Roman" w:eastAsia="仿宋_GB2312"/>
          <w:snapToGrid w:val="0"/>
          <w:kern w:val="0"/>
          <w:sz w:val="32"/>
          <w:szCs w:val="32"/>
        </w:rPr>
        <w:t>因历史原因，禁止养殖区内重点生态功能区和公共设施安全区域划定前已有的水产养殖，搬迁或关停造成养殖生产者经济损失的应依法给予补偿，并妥善安置养殖渔民生产生活。</w:t>
      </w:r>
    </w:p>
    <w:p>
      <w:pPr>
        <w:tabs>
          <w:tab w:val="left" w:pos="7584"/>
        </w:tabs>
        <w:overflowPunct w:val="0"/>
        <w:adjustRightInd w:val="0"/>
        <w:snapToGrid w:val="0"/>
        <w:spacing w:line="600" w:lineRule="exact"/>
        <w:ind w:firstLine="643" w:firstLineChars="200"/>
        <w:rPr>
          <w:rFonts w:ascii="Times New Roman" w:hAnsi="Times New Roman" w:eastAsia="仿宋_GB2312"/>
          <w:snapToGrid w:val="0"/>
          <w:kern w:val="0"/>
          <w:sz w:val="32"/>
          <w:szCs w:val="32"/>
          <w:lang w:bidi="ar"/>
        </w:rPr>
      </w:pPr>
      <w:r>
        <w:rPr>
          <w:rFonts w:ascii="Times New Roman" w:hAnsi="Times New Roman" w:eastAsia="仿宋_GB2312"/>
          <w:b/>
          <w:snapToGrid w:val="0"/>
          <w:kern w:val="0"/>
          <w:sz w:val="32"/>
          <w:szCs w:val="32"/>
        </w:rPr>
        <w:t>3．加强水域滩涂管理。</w:t>
      </w:r>
      <w:r>
        <w:rPr>
          <w:rFonts w:ascii="Times New Roman" w:hAnsi="Times New Roman" w:eastAsia="仿宋_GB2312"/>
          <w:snapToGrid w:val="0"/>
          <w:kern w:val="0"/>
          <w:sz w:val="32"/>
          <w:szCs w:val="32"/>
          <w:lang w:bidi="ar"/>
        </w:rPr>
        <w:t>建立农业农村、水利、生态环境、自然资源等部门的协调机制，加强水域综合管理，依法开展水生态和水生生物资源监测，加大禁止养殖区管理宣传和执法监管力度，严厉打击涉渔违法违规行为，促进环境资源修复，维护重点水域生态安全。</w:t>
      </w:r>
    </w:p>
    <w:p>
      <w:pPr>
        <w:tabs>
          <w:tab w:val="left" w:pos="0"/>
          <w:tab w:val="left" w:pos="420"/>
        </w:tabs>
        <w:adjustRightInd w:val="0"/>
        <w:snapToGrid w:val="0"/>
        <w:spacing w:line="600" w:lineRule="exact"/>
        <w:ind w:firstLine="640" w:firstLineChars="200"/>
        <w:outlineLvl w:val="1"/>
        <w:rPr>
          <w:rFonts w:ascii="Times New Roman" w:hAnsi="Times New Roman" w:eastAsia="楷体_GB2312"/>
          <w:snapToGrid w:val="0"/>
          <w:kern w:val="0"/>
          <w:sz w:val="32"/>
          <w:szCs w:val="32"/>
          <w:lang w:val="zh-CN"/>
        </w:rPr>
      </w:pPr>
      <w:bookmarkStart w:id="96" w:name="_Toc45441032"/>
      <w:bookmarkStart w:id="97" w:name="_Toc1521894134"/>
      <w:bookmarkStart w:id="98" w:name="_Toc18994"/>
      <w:bookmarkStart w:id="99" w:name="_Toc130907267"/>
      <w:bookmarkStart w:id="100" w:name="_Toc13366"/>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第十一节　限制养殖区</w:t>
      </w:r>
      <w:bookmarkEnd w:id="96"/>
      <w:bookmarkEnd w:id="97"/>
      <w:bookmarkEnd w:id="98"/>
      <w:bookmarkEnd w:id="99"/>
      <w:bookmarkEnd w:id="100"/>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101" w:name="_Toc20230"/>
      <w:r>
        <w:rPr>
          <w:rFonts w:ascii="Times New Roman" w:hAnsi="Times New Roman" w:eastAsia="楷体_GB2312"/>
          <w:snapToGrid w:val="0"/>
          <w:kern w:val="0"/>
          <w:sz w:val="32"/>
          <w:szCs w:val="32"/>
        </w:rPr>
        <w:t>（一）限制养殖区类型、面积及位置</w:t>
      </w:r>
      <w:bookmarkEnd w:id="101"/>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限制养殖区水域滩涂面积约33.6万公顷，主要包括以下类型，具体名录见附件3。</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1．饮用水水源地二级保护区（不含已列入禁养区相关类型的水域滩涂）。</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2．自然保护区实验区（一般控制区）41个。湿地公园、风景名胜区、森林公园、地质公园等192处生态功能区按规定限制养殖的水域滩涂。</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3．水产种质资源保护区实验区（不含纳入河道行洪区的实验区）15处。</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4．列入安徽省湖泊保护名录（不含已列入禁养区相关类型的水域滩涂）的重点湖泊水库。</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5．生态保护红线内的水域滩涂等法律法规规定的其他限制养殖区。</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102" w:name="_Toc16460"/>
      <w:r>
        <w:rPr>
          <w:rFonts w:ascii="Times New Roman" w:hAnsi="Times New Roman" w:eastAsia="楷体_GB2312"/>
          <w:snapToGrid w:val="0"/>
          <w:kern w:val="0"/>
          <w:sz w:val="32"/>
          <w:szCs w:val="32"/>
        </w:rPr>
        <w:t>（二）管理措施</w:t>
      </w:r>
      <w:bookmarkEnd w:id="102"/>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1．合理控制养殖规模。</w:t>
      </w:r>
      <w:r>
        <w:rPr>
          <w:rFonts w:ascii="Times New Roman" w:hAnsi="Times New Roman" w:eastAsia="仿宋_GB2312"/>
          <w:snapToGrid w:val="0"/>
          <w:kern w:val="0"/>
          <w:sz w:val="32"/>
          <w:szCs w:val="32"/>
        </w:rPr>
        <w:t>调优限制养殖区养殖布局，严格控制水域滩涂养殖证办理，不进行高强度开发利用。科学规划限制养殖区的养殖单元，按照水域滩涂承载力，合理控制养殖规模和放养密度，制定实施符合限制养殖区管理要求的生产模式。</w:t>
      </w:r>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2．发展绿色生态渔业。</w:t>
      </w:r>
      <w:r>
        <w:rPr>
          <w:rFonts w:ascii="Times New Roman" w:hAnsi="Times New Roman" w:eastAsia="仿宋_GB2312"/>
          <w:snapToGrid w:val="0"/>
          <w:kern w:val="0"/>
          <w:sz w:val="32"/>
          <w:szCs w:val="32"/>
        </w:rPr>
        <w:t>限制养殖区要按照“一水一策”的原则，结合湖泊保护规划，准确把握法律法规和政策要求，合理选择大水面生态渔业发展方式。在饮用水水源二级保护区、自然保护区的实验区，可根据资源调查结果合理投放滤食性、肉食性、草食性的当地土著品种，发挥增殖渔业的生态功能。大水面禁止投放外来种、杂交种、转基因种以及其他不符合生态要求的水生生物物种。依法可以开展网箱、围拦养殖的水域，应以科学合理为前提，严格按照《大水面增养殖容量计算方法》（SC/T1149－2020）执行，且不得污染水体和影响行蓄洪。</w:t>
      </w:r>
      <w:r>
        <w:rPr>
          <w:rFonts w:ascii="Times New Roman" w:hAnsi="Times New Roman" w:eastAsia="仿宋_GB2312"/>
          <w:snapToGrid w:val="0"/>
          <w:kern w:val="0"/>
          <w:sz w:val="32"/>
          <w:szCs w:val="32"/>
          <w:shd w:val="clear" w:color="auto" w:fill="FFFFFF"/>
          <w:lang w:bidi="ar"/>
        </w:rPr>
        <w:t>根据湖泊管理保护需要，可以禁止围网、围栏养殖。</w:t>
      </w:r>
    </w:p>
    <w:p>
      <w:pPr>
        <w:tabs>
          <w:tab w:val="left" w:pos="7584"/>
        </w:tabs>
        <w:overflowPunct w:val="0"/>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3．加强污染排放管理。</w:t>
      </w:r>
      <w:r>
        <w:rPr>
          <w:rFonts w:ascii="Times New Roman" w:hAnsi="Times New Roman" w:eastAsia="仿宋_GB2312"/>
          <w:snapToGrid w:val="0"/>
          <w:kern w:val="0"/>
          <w:sz w:val="32"/>
          <w:szCs w:val="32"/>
        </w:rPr>
        <w:t>加强限制养殖区水质环境监测，严格控制水产养殖用投入品使用，水产养殖污染物排放应符合国家或地方规定的排放标准。对区域内超过排放标准的水产养殖主体，限期整改，整改后仍不达标的，由当地县级人民政府及相关部门负责限期搬迁或关停。限制养殖区划定前已有的水产养殖，因搬迁或关停造成养殖生产者经济损失的，应依法给予补偿并妥善安置其生产生活。</w:t>
      </w:r>
    </w:p>
    <w:p>
      <w:pPr>
        <w:adjustRightInd w:val="0"/>
        <w:snapToGrid w:val="0"/>
        <w:spacing w:line="600" w:lineRule="exact"/>
        <w:ind w:firstLine="640" w:firstLineChars="200"/>
        <w:rPr>
          <w:rFonts w:ascii="Times New Roman" w:hAnsi="Times New Roman" w:eastAsia="黑体"/>
          <w:snapToGrid w:val="0"/>
          <w:kern w:val="0"/>
          <w:sz w:val="32"/>
          <w:szCs w:val="32"/>
        </w:rPr>
      </w:pPr>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103" w:name="_Toc656623077"/>
      <w:bookmarkStart w:id="104" w:name="_Toc130907268"/>
      <w:bookmarkStart w:id="105" w:name="_Toc3149"/>
      <w:bookmarkStart w:id="106" w:name="_Toc744267575"/>
      <w:bookmarkStart w:id="107" w:name="_Toc4171"/>
      <w:r>
        <w:rPr>
          <w:rFonts w:ascii="Times New Roman" w:hAnsi="Times New Roman" w:eastAsia="楷体_GB2312"/>
          <w:snapToGrid w:val="0"/>
          <w:kern w:val="0"/>
          <w:sz w:val="32"/>
          <w:szCs w:val="32"/>
          <w:lang w:val="zh-CN"/>
        </w:rPr>
        <w:t>第十二节　养殖区</w:t>
      </w:r>
      <w:bookmarkEnd w:id="103"/>
      <w:bookmarkEnd w:id="104"/>
      <w:bookmarkEnd w:id="105"/>
      <w:bookmarkEnd w:id="106"/>
      <w:bookmarkEnd w:id="107"/>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108" w:name="_Toc23042"/>
      <w:r>
        <w:rPr>
          <w:rFonts w:ascii="Times New Roman" w:hAnsi="Times New Roman" w:eastAsia="楷体_GB2312"/>
          <w:snapToGrid w:val="0"/>
          <w:kern w:val="0"/>
          <w:sz w:val="32"/>
          <w:szCs w:val="32"/>
        </w:rPr>
        <w:t>（一）养殖区类型、面积</w:t>
      </w:r>
      <w:bookmarkEnd w:id="108"/>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禁止养殖区和限制养殖区以外的水域滩涂为养殖区，包括池塘养殖、湖泊养殖、水库养殖、河沟养殖、工厂化设施养殖等。全省16个市规划养殖区面积30.24万公顷，其中池塘21.75万公顷、湖泊水库3.06万公顷、河沟5.43万公顷。全省宜渔稻田（稻渔综合种养）不纳入本规划养殖区范围。养殖区类型、面积见附件4。</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109" w:name="_Toc26665"/>
      <w:r>
        <w:rPr>
          <w:rFonts w:ascii="Times New Roman" w:hAnsi="Times New Roman" w:eastAsia="楷体_GB2312"/>
          <w:snapToGrid w:val="0"/>
          <w:kern w:val="0"/>
          <w:sz w:val="32"/>
          <w:szCs w:val="32"/>
        </w:rPr>
        <w:t>（二）管理措施</w:t>
      </w:r>
      <w:bookmarkEnd w:id="109"/>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1．落实养殖水域滩涂规划制度。</w:t>
      </w:r>
      <w:r>
        <w:rPr>
          <w:rFonts w:ascii="Times New Roman" w:hAnsi="Times New Roman" w:eastAsia="仿宋_GB2312"/>
          <w:snapToGrid w:val="0"/>
          <w:kern w:val="0"/>
          <w:sz w:val="32"/>
          <w:szCs w:val="32"/>
        </w:rPr>
        <w:t>完善全民所有养殖水域滩涂使用审批和管理，加快推进集体所有养殖水域滩涂承包经营权的确权工作，规范水域滩涂养殖发证登记，依法查处非法侵占养殖水域滩涂行为，依法保障养殖生产者的合法权益。新开发建设项目应严格执行环境影响评价制度。</w:t>
      </w:r>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2．推进水产绿色健康养殖。</w:t>
      </w:r>
      <w:r>
        <w:rPr>
          <w:rFonts w:ascii="Times New Roman" w:hAnsi="Times New Roman" w:eastAsia="仿宋_GB2312"/>
          <w:snapToGrid w:val="0"/>
          <w:kern w:val="0"/>
          <w:sz w:val="32"/>
          <w:szCs w:val="32"/>
        </w:rPr>
        <w:t>实施水产绿色健康养殖技术推广“五大行动”，推广水产优良品种，发展池塘标准化养殖、工厂化循环水养殖、山泉流水养鱼等生态健康养殖模式，指导养殖者科学确定养殖密度，规范水产养殖用兽药、饲料和饲料添加剂等投入品使用，落实养殖区水域环保措施，提升水产品质量安全水平，保护养殖水域生态环境。</w:t>
      </w:r>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3．提高养殖设施装备水平。</w:t>
      </w:r>
      <w:r>
        <w:rPr>
          <w:rFonts w:ascii="Times New Roman" w:hAnsi="Times New Roman" w:eastAsia="仿宋_GB2312"/>
          <w:snapToGrid w:val="0"/>
          <w:kern w:val="0"/>
          <w:sz w:val="32"/>
          <w:szCs w:val="32"/>
        </w:rPr>
        <w:t>推进绿色养殖池塘标准化改造升级，完善循环水和尾水处理设施，探索建立养殖池塘维护和改造长效机制，提升池塘养殖稳产保供能力，促进养殖尾水循环利用或达标排放。鼓励发展设施渔业，提升工厂化养殖设施的机械化、智能化、现代化水平，促进渔业转型升级。</w:t>
      </w:r>
    </w:p>
    <w:p>
      <w:pPr>
        <w:tabs>
          <w:tab w:val="left" w:pos="7584"/>
        </w:tabs>
        <w:overflowPunct w:val="0"/>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4．加强水产养殖物种管理。</w:t>
      </w:r>
      <w:r>
        <w:rPr>
          <w:rFonts w:ascii="Times New Roman" w:hAnsi="Times New Roman" w:eastAsia="仿宋_GB2312"/>
          <w:snapToGrid w:val="0"/>
          <w:kern w:val="0"/>
          <w:sz w:val="32"/>
          <w:szCs w:val="32"/>
        </w:rPr>
        <w:t>养殖可育杂交个体、通过生物工程等技术改变遗传性状的个体及后代、外来物种的，其场所必须建立严格的隔离和防逃措施，避免养殖物种逃离，并禁止投放于河流、湖泊、水库等自然水域。</w:t>
      </w:r>
    </w:p>
    <w:p>
      <w:pPr>
        <w:tabs>
          <w:tab w:val="left" w:pos="420"/>
        </w:tabs>
        <w:adjustRightInd w:val="0"/>
        <w:snapToGrid w:val="0"/>
        <w:spacing w:line="600" w:lineRule="exact"/>
        <w:outlineLvl w:val="0"/>
        <w:rPr>
          <w:rFonts w:ascii="Times New Roman" w:hAnsi="Times New Roman" w:eastAsia="黑体"/>
          <w:snapToGrid w:val="0"/>
          <w:kern w:val="0"/>
          <w:sz w:val="32"/>
          <w:szCs w:val="32"/>
        </w:rPr>
      </w:pPr>
      <w:bookmarkStart w:id="110" w:name="_Toc3840"/>
      <w:bookmarkStart w:id="111" w:name="_Toc1213530150"/>
      <w:bookmarkStart w:id="112" w:name="_Toc130907269"/>
      <w:bookmarkStart w:id="113" w:name="_Toc992409223"/>
      <w:bookmarkStart w:id="114" w:name="_Toc29328"/>
    </w:p>
    <w:p>
      <w:pPr>
        <w:tabs>
          <w:tab w:val="left" w:pos="420"/>
        </w:tabs>
        <w:adjustRightInd w:val="0"/>
        <w:snapToGrid w:val="0"/>
        <w:spacing w:line="600" w:lineRule="exact"/>
        <w:jc w:val="center"/>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第四章　保障措施</w:t>
      </w:r>
      <w:bookmarkEnd w:id="110"/>
      <w:bookmarkEnd w:id="111"/>
      <w:bookmarkEnd w:id="112"/>
      <w:bookmarkEnd w:id="113"/>
      <w:bookmarkEnd w:id="114"/>
      <w:bookmarkStart w:id="115" w:name="_Toc130907270"/>
    </w:p>
    <w:p>
      <w:pPr>
        <w:adjustRightInd w:val="0"/>
        <w:snapToGrid w:val="0"/>
        <w:spacing w:line="570" w:lineRule="exact"/>
        <w:jc w:val="center"/>
        <w:rPr>
          <w:rFonts w:ascii="Times New Roman" w:hAnsi="Times New Roman" w:eastAsia="楷体_GB2312"/>
          <w:snapToGrid w:val="0"/>
          <w:kern w:val="0"/>
          <w:sz w:val="32"/>
          <w:szCs w:val="32"/>
          <w:lang w:val="zh-CN"/>
        </w:rPr>
      </w:pPr>
    </w:p>
    <w:p>
      <w:pPr>
        <w:adjustRightInd w:val="0"/>
        <w:snapToGrid w:val="0"/>
        <w:spacing w:line="570" w:lineRule="exact"/>
        <w:jc w:val="center"/>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第十三节　加强组织领导</w:t>
      </w:r>
      <w:bookmarkEnd w:id="115"/>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是综合性系统工程。各级政府要加强《规划》实施的组织领导，建立统一协调机制，明确分工，落实责任，发挥《规划》导向作用，严格落实辖区内禁止养殖区、限制养殖区和养殖区属地管理责任，加大对养殖水域滩涂规划实施的保障力度。农业农村部门是实施《规划》的牵头部门，要会同自然资源、生态环境、水利、交通运输、林业等部门，构建合作联动机制，各司其职、密切配合，加强《规划》实施的有序推进、指导服务和监督管理，合理规划水产养殖业布局，科学谋划渔业产业发展，保护水域滩涂生态环境，维护生产者的合法权益，保障水产养殖业的持续健康发展和水产品的安全有效供给。</w:t>
      </w:r>
    </w:p>
    <w:p>
      <w:pPr>
        <w:adjustRightInd w:val="0"/>
        <w:snapToGrid w:val="0"/>
        <w:spacing w:line="570" w:lineRule="exact"/>
        <w:ind w:firstLine="640" w:firstLineChars="200"/>
        <w:rPr>
          <w:rFonts w:ascii="Times New Roman" w:hAnsi="Times New Roman" w:eastAsia="仿宋_GB2312"/>
          <w:snapToGrid w:val="0"/>
          <w:kern w:val="0"/>
          <w:sz w:val="32"/>
          <w:szCs w:val="32"/>
        </w:rPr>
      </w:pPr>
    </w:p>
    <w:p>
      <w:pPr>
        <w:adjustRightInd w:val="0"/>
        <w:snapToGrid w:val="0"/>
        <w:spacing w:line="570" w:lineRule="exact"/>
        <w:jc w:val="center"/>
        <w:rPr>
          <w:rFonts w:ascii="Times New Roman" w:hAnsi="Times New Roman" w:eastAsia="楷体_GB2312"/>
          <w:snapToGrid w:val="0"/>
          <w:kern w:val="0"/>
          <w:sz w:val="32"/>
          <w:szCs w:val="32"/>
          <w:lang w:val="zh-CN"/>
        </w:rPr>
      </w:pPr>
      <w:bookmarkStart w:id="116" w:name="_Toc130907271"/>
      <w:r>
        <w:rPr>
          <w:rFonts w:ascii="Times New Roman" w:hAnsi="Times New Roman" w:eastAsia="楷体_GB2312"/>
          <w:snapToGrid w:val="0"/>
          <w:kern w:val="0"/>
          <w:sz w:val="32"/>
          <w:szCs w:val="32"/>
          <w:lang w:val="zh-CN"/>
        </w:rPr>
        <w:t>第十四节　强化监督检查</w:t>
      </w:r>
      <w:bookmarkEnd w:id="116"/>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加强对养殖水域滩涂不同功能区的管制，确保禁止养殖区、限制养殖区和养殖区相关管理措施落实，保证规划实施效果。建立健全养殖水域滩涂保护制度，依法保障养殖生产经营者合法权益，充分调动养殖主体发展水产养殖的积极性，严禁擅自改变养殖水域滩涂使用用途，保障水产养殖业发展空间。按照《水域滩涂养殖发证登记办法》等规定，规范水域滩涂养殖发证登记工作，优化调整养殖生产力布局。充分利用养殖信息管理系统，对养殖证实行动态管理，加强水域滩涂开发利用与保护的动态监管和信息反馈。</w:t>
      </w:r>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强化水产养殖执法监督管理，规范渔业生产秩序，依法查处未依法取得养殖证或者超越养殖证许可范围在全民所有的水域从事养殖生产，妨碍航运、行洪等非法养殖行为，维护良好的养殖水域环境，切实提高水产品质量安全水平，保障养殖水域滩涂可持续利用。加大渔业、环保等法律法规和政策宣传普及力度，提高养殖生产经营主体依法养殖和保护资源环境意识和能力。</w:t>
      </w:r>
    </w:p>
    <w:p>
      <w:pPr>
        <w:numPr>
          <w:ilvl w:val="1"/>
          <w:numId w:val="0"/>
        </w:numPr>
        <w:tabs>
          <w:tab w:val="left" w:pos="0"/>
          <w:tab w:val="left" w:pos="420"/>
        </w:tabs>
        <w:adjustRightInd w:val="0"/>
        <w:snapToGrid w:val="0"/>
        <w:spacing w:line="570" w:lineRule="exact"/>
        <w:ind w:firstLine="640" w:firstLineChars="200"/>
        <w:outlineLvl w:val="1"/>
        <w:rPr>
          <w:rFonts w:ascii="Times New Roman" w:hAnsi="Times New Roman" w:eastAsia="楷体_GB2312"/>
          <w:snapToGrid w:val="0"/>
          <w:kern w:val="0"/>
          <w:sz w:val="32"/>
          <w:szCs w:val="32"/>
          <w:lang w:val="zh-CN"/>
        </w:rPr>
      </w:pPr>
    </w:p>
    <w:p>
      <w:pPr>
        <w:numPr>
          <w:ilvl w:val="1"/>
          <w:numId w:val="0"/>
        </w:numPr>
        <w:tabs>
          <w:tab w:val="left" w:pos="0"/>
          <w:tab w:val="left" w:pos="420"/>
        </w:tabs>
        <w:adjustRightInd w:val="0"/>
        <w:snapToGrid w:val="0"/>
        <w:spacing w:line="570" w:lineRule="exact"/>
        <w:jc w:val="center"/>
        <w:outlineLvl w:val="1"/>
        <w:rPr>
          <w:rFonts w:ascii="Times New Roman" w:hAnsi="Times New Roman" w:eastAsia="楷体_GB2312"/>
          <w:snapToGrid w:val="0"/>
          <w:kern w:val="0"/>
          <w:sz w:val="32"/>
          <w:szCs w:val="32"/>
          <w:lang w:val="zh-CN"/>
        </w:rPr>
      </w:pPr>
      <w:bookmarkStart w:id="117" w:name="_Toc130907272"/>
      <w:r>
        <w:rPr>
          <w:rFonts w:ascii="Times New Roman" w:hAnsi="Times New Roman" w:eastAsia="楷体_GB2312"/>
          <w:snapToGrid w:val="0"/>
          <w:kern w:val="0"/>
          <w:sz w:val="32"/>
          <w:szCs w:val="32"/>
          <w:lang w:val="zh-CN"/>
        </w:rPr>
        <w:t>第十五节　完善生态保护</w:t>
      </w:r>
      <w:bookmarkEnd w:id="117"/>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实施长江流域重点水域禁捕退捕，加强水生生物保护区和水产种质资源保护区建设管护，有效保护水生生物物种资源及其栖息环境，改善渔业水域生态环境，实现渔业资源可持续利用，促进人与自然和谐共生。充分发挥生态渔业对水域环境的修复功能，加强渔业资源和水域生态环境调查监测，科学开展渔业增殖放流，促进水生生物资源修复。健全渔业资源生态保护补偿机制，严格涉渔建设项目专题影响评价，监督落实渔业资源生态补偿措施，依法应对处理渔业水域污染、外来入侵生物事故。</w:t>
      </w:r>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发展绿色水产养殖业，推进传统养殖模式向绿色高质量养殖模式转型升级。科学规划大水面生态渔业，合理确定大水面生态渔业发展空间，鼓励在湖泊水库发展不投饵滤食性、草食性、肉食性鱼类等增殖渔业。实施养殖池塘标准化改造和尾水治理，加快推进养殖节能减排，推进水产养殖用兽药减量，推广池塘标准化、工厂化循环水等高效高质养殖模式，形成一批标准化、设施化、信息化、生态化的水产健康养殖和生态养殖示范区。</w:t>
      </w:r>
    </w:p>
    <w:p>
      <w:pPr>
        <w:numPr>
          <w:ilvl w:val="1"/>
          <w:numId w:val="0"/>
        </w:numPr>
        <w:tabs>
          <w:tab w:val="left" w:pos="0"/>
          <w:tab w:val="left" w:pos="420"/>
        </w:tabs>
        <w:adjustRightInd w:val="0"/>
        <w:snapToGrid w:val="0"/>
        <w:spacing w:line="570" w:lineRule="exact"/>
        <w:ind w:firstLine="640" w:firstLineChars="200"/>
        <w:outlineLvl w:val="1"/>
        <w:rPr>
          <w:rFonts w:ascii="Times New Roman" w:hAnsi="Times New Roman" w:eastAsia="楷体_GB2312"/>
          <w:snapToGrid w:val="0"/>
          <w:kern w:val="0"/>
          <w:sz w:val="32"/>
          <w:szCs w:val="32"/>
          <w:lang w:val="zh-CN"/>
        </w:rPr>
      </w:pPr>
    </w:p>
    <w:p>
      <w:pPr>
        <w:numPr>
          <w:ilvl w:val="1"/>
          <w:numId w:val="0"/>
        </w:numPr>
        <w:tabs>
          <w:tab w:val="left" w:pos="0"/>
          <w:tab w:val="left" w:pos="420"/>
        </w:tabs>
        <w:adjustRightInd w:val="0"/>
        <w:snapToGrid w:val="0"/>
        <w:spacing w:line="570" w:lineRule="exact"/>
        <w:jc w:val="center"/>
        <w:outlineLvl w:val="1"/>
        <w:rPr>
          <w:rFonts w:ascii="Times New Roman" w:hAnsi="Times New Roman" w:eastAsia="楷体_GB2312"/>
          <w:snapToGrid w:val="0"/>
          <w:kern w:val="0"/>
          <w:sz w:val="32"/>
          <w:szCs w:val="32"/>
          <w:lang w:val="zh-CN"/>
        </w:rPr>
      </w:pPr>
      <w:bookmarkStart w:id="118" w:name="_Toc130907273"/>
      <w:r>
        <w:rPr>
          <w:rFonts w:ascii="Times New Roman" w:hAnsi="Times New Roman" w:eastAsia="楷体_GB2312"/>
          <w:snapToGrid w:val="0"/>
          <w:kern w:val="0"/>
          <w:sz w:val="32"/>
          <w:szCs w:val="32"/>
          <w:lang w:val="zh-CN"/>
        </w:rPr>
        <w:t>第十六节　其他保障措施</w:t>
      </w:r>
      <w:bookmarkEnd w:id="118"/>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加强宣传培训。</w:t>
      </w:r>
      <w:r>
        <w:rPr>
          <w:rFonts w:ascii="Times New Roman" w:hAnsi="Times New Roman" w:eastAsia="仿宋_GB2312"/>
          <w:snapToGrid w:val="0"/>
          <w:kern w:val="0"/>
          <w:sz w:val="32"/>
          <w:szCs w:val="32"/>
        </w:rPr>
        <w:t>依法将养殖水域滩涂规划向社会公布，加大对健康养殖和环境意识的宣传教育，鼓励广大养殖主体参与保护和合理开发利用水域滩涂，营造健康有序的水产养殖发展环境，提高《规划》执行的自觉性。充分利用新型职业农民培训等渠道，培养一批有文化、懂技术、会经营的新型职业渔民，为渔业生产转型升级和高质量发展提供坚实保障。</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强化渔业科技。</w:t>
      </w:r>
      <w:r>
        <w:rPr>
          <w:rFonts w:ascii="Times New Roman" w:hAnsi="Times New Roman" w:eastAsia="仿宋_GB2312"/>
          <w:snapToGrid w:val="0"/>
          <w:kern w:val="0"/>
          <w:sz w:val="32"/>
          <w:szCs w:val="32"/>
        </w:rPr>
        <w:t>注重科技资源整合，健全渔业全链条科技创新服务体系，建立“产学研推用”五位一体的技术创新、集成熟化、示范推广和产业服务机制，增强渔业科技服务支撑能力，促进健康养殖、设施装备、资源养护等科研成果和先进技术推广。加快渔业管理数字化技术应用，推进工厂化、池塘等养殖模式的数字化改造，提高渔业信息化水平。</w:t>
      </w:r>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加大政策扶持。</w:t>
      </w:r>
      <w:r>
        <w:rPr>
          <w:rFonts w:ascii="Times New Roman" w:hAnsi="Times New Roman" w:eastAsia="仿宋_GB2312"/>
          <w:snapToGrid w:val="0"/>
          <w:kern w:val="0"/>
          <w:sz w:val="32"/>
          <w:szCs w:val="32"/>
        </w:rPr>
        <w:t>统筹支持渔业发展政策项目资金，综合运用直接补助、先建后补、以奖代补等多种方式，加大对渔业基础设施和重点领域支持力度。探索建立多渠道、多元化的投融资方式，鼓励和引导各类投资主体参与渔业重点项目建设。鼓励各类保险机构开展水产养殖保险，提高风险保障能力。</w:t>
      </w:r>
    </w:p>
    <w:p>
      <w:pPr>
        <w:tabs>
          <w:tab w:val="left" w:pos="420"/>
        </w:tabs>
        <w:adjustRightInd w:val="0"/>
        <w:snapToGrid w:val="0"/>
        <w:spacing w:line="600" w:lineRule="exact"/>
        <w:outlineLvl w:val="0"/>
        <w:rPr>
          <w:rFonts w:ascii="Times New Roman" w:hAnsi="Times New Roman" w:eastAsia="黑体"/>
          <w:snapToGrid w:val="0"/>
          <w:kern w:val="0"/>
          <w:sz w:val="32"/>
          <w:szCs w:val="32"/>
        </w:rPr>
      </w:pPr>
      <w:bookmarkStart w:id="119" w:name="_Toc490655705"/>
      <w:bookmarkStart w:id="120" w:name="_Toc130907274"/>
      <w:bookmarkStart w:id="121" w:name="_Toc1188498948"/>
    </w:p>
    <w:p>
      <w:pPr>
        <w:tabs>
          <w:tab w:val="left" w:pos="420"/>
        </w:tabs>
        <w:adjustRightInd w:val="0"/>
        <w:snapToGrid w:val="0"/>
        <w:spacing w:line="600" w:lineRule="exact"/>
        <w:jc w:val="center"/>
        <w:outlineLvl w:val="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第五章　规划实施环境影响分析</w:t>
      </w:r>
      <w:bookmarkEnd w:id="119"/>
      <w:bookmarkEnd w:id="120"/>
      <w:bookmarkEnd w:id="121"/>
    </w:p>
    <w:p>
      <w:pPr>
        <w:adjustRightInd w:val="0"/>
        <w:snapToGrid w:val="0"/>
        <w:spacing w:line="600" w:lineRule="exact"/>
        <w:ind w:firstLine="640" w:firstLineChars="200"/>
        <w:rPr>
          <w:rFonts w:ascii="Times New Roman" w:hAnsi="Times New Roman" w:eastAsia="仿宋_GB2312"/>
          <w:snapToGrid w:val="0"/>
          <w:kern w:val="0"/>
          <w:sz w:val="32"/>
          <w:szCs w:val="32"/>
        </w:rPr>
      </w:pP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根据《规划环境影响评价条例》《规划环境影响评价技术导则总纲》（HJ 130－2019）等相关法律法规的规定，从环境保护的角度对《规划》实施的环境影响和《规划》的协调性进行分析，并有针对性地提出环境保护措施。</w:t>
      </w:r>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122" w:name="_Toc9762"/>
      <w:bookmarkStart w:id="123" w:name="_Toc1075205041"/>
      <w:bookmarkStart w:id="124" w:name="_Toc10693"/>
      <w:bookmarkStart w:id="125" w:name="_Toc130907275"/>
      <w:bookmarkStart w:id="126" w:name="_Toc1927590167"/>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第十七节　环境影响分析、预测和评估</w:t>
      </w:r>
      <w:bookmarkEnd w:id="122"/>
      <w:bookmarkEnd w:id="123"/>
      <w:bookmarkEnd w:id="124"/>
      <w:bookmarkEnd w:id="125"/>
      <w:bookmarkEnd w:id="126"/>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127" w:name="_Toc32643"/>
      <w:r>
        <w:rPr>
          <w:rFonts w:ascii="Times New Roman" w:hAnsi="Times New Roman" w:eastAsia="楷体_GB2312"/>
          <w:snapToGrid w:val="0"/>
          <w:kern w:val="0"/>
          <w:sz w:val="32"/>
          <w:szCs w:val="32"/>
        </w:rPr>
        <w:t>（一）环境影响分析和预测</w:t>
      </w:r>
      <w:bookmarkEnd w:id="127"/>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全省水产养殖可利用水域类型主要是池塘、湖泊、水库、河沟等。《规划》分析了安徽省水域滩涂资源、水文气候条件、水生生物资源、水域环境状况，对湖泊水库渔业承载力以其鱼产潜力为限，养殖池塘承载力以池塘养殖容量为限进行了评价。《规划》立足水域滩涂资源禀赋和环境承载力评价结果，结合渔业经济发展和生态环境保护需要，坚持数量和质量并重、生产和生态协调、发展和安全统筹，将全省现有养殖水域滩涂科学划设为禁止养殖区、限制养殖区和养殖区3类功能区，实行分类管理，实现水域滩涂生态保护与渔业合理利用有机协调，与水域生态环境保护目标一致，对生态环境的影响总体上是有利的。</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禁止养殖区，主要位于饮用水水源地一级保护区、自然保护区核心保护区、水产种质资源保护区核心区等重点生态功能区，港口、航道、行洪区、河道堤防安全保护区等公共设施安全区域，以及有毒有害物质超过规定标准的水体和法律法规规定的其他禁止从事水产养殖的区域。《规划》实施后，禁养区内历史已有的水产养殖依法采取搬迁或关停，有利于促进渔业资源和水域环境修复，强化水生生物资源养护和多样性保护，保障重要公共设施正常运行和社会安全，保障水产品质量安全。</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限制养殖区，主要位于饮用水水源地二级保护区、自然保护区一般控制区、水产种质资源保护区实验区、自然公园等生态功能区，以及重点湖泊水库等公共自然水域。《规划》实施后，将引领该功能区科学控制开发强度，推进大水面生态渔业发展，有利于强化渔业生态功能，优化养殖生产力布局和渔业水域生态环境，实现水质达标。</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养殖区，主要为禁止和限制养殖区以外的水域滩涂，以养殖池塘为重点。《规划》实施后，将引领该功能区内水域滩涂发展绿色健康养殖，在养殖承载力范围内合理确定养殖密度，科学投饵，规范用药，提升质量安全水平，保护养殖水域生态环境，开展养殖池塘标准化改造，推进养殖尾水循环利用或达标排放，促进渔业转型升级。</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128" w:name="_Toc8421"/>
      <w:r>
        <w:rPr>
          <w:rFonts w:ascii="Times New Roman" w:hAnsi="Times New Roman" w:eastAsia="楷体_GB2312"/>
          <w:snapToGrid w:val="0"/>
          <w:kern w:val="0"/>
          <w:sz w:val="32"/>
          <w:szCs w:val="32"/>
        </w:rPr>
        <w:t>（二）规划协调性分析</w:t>
      </w:r>
      <w:bookmarkEnd w:id="128"/>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规划》严格执行环境保护相关法律法规，贯彻落实党中央、国务院和省委、省政府关于生态文明建设方针政策，以2020年国土变更调查成果和“三区三线”划定成果为底图，加强与生态环保、交通运输、水利、农业农村等其他相关专项规划衔接，纳入安徽省国土空间规划体系。坚持水域滩涂生态环境保护优先，严格用途导向和监管，确保养殖水域滩涂资源有效保护、合理利用和依法管理，推进生态环境保护和渔业绿色发展。</w:t>
      </w:r>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规划》明确在水体承载力范围内合理养殖，集约高效利用水域资源，发展大水面生态渔业、池塘标准化养殖、工厂化循环水养殖等生态健康养殖模式，实施池塘标准化改造和养殖尾水治理，提升水产养殖集约化、机械化、智能化、标准化水平，推动形成科技含量高、资源消耗低、环境污染少的水产养殖产业结构，有助于加强水域生态保护修复，改善生态环境质量，符合国家十部委《关于加快推进水产养殖业绿色发展的若干意见》《农业农村部 生态环境部 国家林草局关于推进大水面生态渔业发展的指导意见》等相关文件要求，环境协调性良好。</w:t>
      </w:r>
    </w:p>
    <w:p>
      <w:pPr>
        <w:adjustRightInd w:val="0"/>
        <w:snapToGrid w:val="0"/>
        <w:spacing w:line="570" w:lineRule="exact"/>
        <w:ind w:firstLine="640" w:firstLineChars="200"/>
        <w:rPr>
          <w:rFonts w:ascii="Times New Roman" w:hAnsi="Times New Roman" w:eastAsia="仿宋_GB2312"/>
          <w:snapToGrid w:val="0"/>
          <w:kern w:val="0"/>
          <w:sz w:val="32"/>
          <w:szCs w:val="32"/>
        </w:rPr>
      </w:pPr>
    </w:p>
    <w:p>
      <w:pPr>
        <w:tabs>
          <w:tab w:val="left" w:pos="0"/>
          <w:tab w:val="left" w:pos="420"/>
        </w:tabs>
        <w:adjustRightInd w:val="0"/>
        <w:snapToGrid w:val="0"/>
        <w:spacing w:line="570" w:lineRule="exact"/>
        <w:jc w:val="center"/>
        <w:outlineLvl w:val="1"/>
        <w:rPr>
          <w:rFonts w:ascii="Times New Roman" w:hAnsi="Times New Roman" w:eastAsia="楷体_GB2312"/>
          <w:snapToGrid w:val="0"/>
          <w:kern w:val="0"/>
          <w:sz w:val="32"/>
          <w:szCs w:val="32"/>
          <w:lang w:val="zh-CN"/>
        </w:rPr>
      </w:pPr>
      <w:bookmarkStart w:id="129" w:name="_Toc171643342"/>
      <w:bookmarkStart w:id="130" w:name="_Toc130907276"/>
      <w:bookmarkStart w:id="131" w:name="_Toc18241"/>
      <w:bookmarkStart w:id="132" w:name="_Toc9556"/>
      <w:bookmarkStart w:id="133" w:name="_Toc1134405923"/>
      <w:r>
        <w:rPr>
          <w:rFonts w:ascii="Times New Roman" w:hAnsi="Times New Roman" w:eastAsia="楷体_GB2312"/>
          <w:snapToGrid w:val="0"/>
          <w:kern w:val="0"/>
          <w:sz w:val="32"/>
          <w:szCs w:val="32"/>
          <w:lang w:val="zh-CN"/>
        </w:rPr>
        <w:t>第十八节　环境保护措施</w:t>
      </w:r>
      <w:bookmarkEnd w:id="129"/>
      <w:bookmarkEnd w:id="130"/>
      <w:bookmarkEnd w:id="131"/>
      <w:bookmarkEnd w:id="132"/>
      <w:bookmarkEnd w:id="133"/>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1．加强渔业水域环境保护和水生生物资源养护。</w:t>
      </w:r>
      <w:r>
        <w:rPr>
          <w:rFonts w:ascii="Times New Roman" w:hAnsi="Times New Roman" w:eastAsia="仿宋_GB2312"/>
          <w:snapToGrid w:val="0"/>
          <w:kern w:val="0"/>
          <w:sz w:val="32"/>
          <w:szCs w:val="32"/>
        </w:rPr>
        <w:t>充分发挥生态渔业对水域环境的修复功能，鼓励发展湖泊、水库等大水面生态增养殖，根据资源调查结果，保护增殖滤食性、草食性、肉食性土著鱼类，实现以渔控草、以渔抑藻、以渔净水。开展水生生物资源和渔业水域生态环境监测，动态掌握水生生物资源和渔业水域环境状况，加强水生生物及其栖息地保护，严防外来物种，养护水生生物资源，改善水域生态环境。</w:t>
      </w:r>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2．推动水产养殖业绿色发展。</w:t>
      </w:r>
      <w:r>
        <w:rPr>
          <w:rFonts w:ascii="Times New Roman" w:hAnsi="Times New Roman" w:eastAsia="仿宋_GB2312"/>
          <w:snapToGrid w:val="0"/>
          <w:kern w:val="0"/>
          <w:sz w:val="32"/>
          <w:szCs w:val="32"/>
        </w:rPr>
        <w:t>将绿色发展理念贯穿于水产养殖生产全过程，科学开发水域滩涂资源，优化养殖空间布局，合理调整产业结构，实施生态健康养殖技术模式推广、养殖尾水治理模式推广、水产养殖用药减量、配合饲料替代幼杂鱼、水产种业质量提升等技术推广“五大行动”，发挥水产养殖业在山水林田湖草系统治理中的生态服务功能，促进水产养殖业转型升级，保护水域生态环境。</w:t>
      </w:r>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3．落实生态管控措施</w:t>
      </w:r>
      <w:r>
        <w:rPr>
          <w:rFonts w:ascii="Times New Roman" w:hAnsi="Times New Roman" w:eastAsia="仿宋_GB2312"/>
          <w:snapToGrid w:val="0"/>
          <w:kern w:val="0"/>
          <w:sz w:val="32"/>
          <w:szCs w:val="32"/>
        </w:rPr>
        <w:t>。坚持生态优先、底线约束原则，依法科学有序利用自然资源，明确功能分区，该禁必禁，应限尽限，宜渔则渔，保障水域资源的合理开发与可持续利用。推动出台水产养殖尾水污染物排放标准，依法开展水产养殖项目环境影响评价。实施绿色养殖池塘标准化改造，开展池塘和工厂化等集约化养殖尾水处理，实现养殖尾水达标排放或循环利用。</w:t>
      </w:r>
    </w:p>
    <w:p>
      <w:pPr>
        <w:tabs>
          <w:tab w:val="left" w:pos="0"/>
          <w:tab w:val="left" w:pos="420"/>
        </w:tabs>
        <w:adjustRightInd w:val="0"/>
        <w:snapToGrid w:val="0"/>
        <w:spacing w:line="570" w:lineRule="exact"/>
        <w:ind w:firstLine="640" w:firstLineChars="200"/>
        <w:outlineLvl w:val="1"/>
        <w:rPr>
          <w:rFonts w:ascii="Times New Roman" w:hAnsi="Times New Roman" w:eastAsia="楷体_GB2312"/>
          <w:snapToGrid w:val="0"/>
          <w:kern w:val="0"/>
          <w:sz w:val="32"/>
          <w:szCs w:val="32"/>
          <w:lang w:val="zh-CN"/>
        </w:rPr>
      </w:pPr>
      <w:bookmarkStart w:id="134" w:name="_Toc24866"/>
      <w:bookmarkStart w:id="135" w:name="_Toc14869"/>
      <w:bookmarkStart w:id="136" w:name="_Toc22054275"/>
      <w:bookmarkStart w:id="137" w:name="_Toc868340011"/>
    </w:p>
    <w:p>
      <w:pPr>
        <w:tabs>
          <w:tab w:val="left" w:pos="0"/>
          <w:tab w:val="left" w:pos="420"/>
        </w:tabs>
        <w:adjustRightInd w:val="0"/>
        <w:snapToGrid w:val="0"/>
        <w:spacing w:line="570" w:lineRule="exact"/>
        <w:jc w:val="center"/>
        <w:outlineLvl w:val="1"/>
        <w:rPr>
          <w:rFonts w:ascii="Times New Roman" w:hAnsi="Times New Roman" w:eastAsia="楷体_GB2312"/>
          <w:snapToGrid w:val="0"/>
          <w:kern w:val="0"/>
          <w:sz w:val="32"/>
          <w:szCs w:val="32"/>
          <w:lang w:val="zh-CN"/>
        </w:rPr>
      </w:pPr>
      <w:bookmarkStart w:id="138" w:name="_Toc130907277"/>
      <w:r>
        <w:rPr>
          <w:rFonts w:ascii="Times New Roman" w:hAnsi="Times New Roman" w:eastAsia="楷体_GB2312"/>
          <w:snapToGrid w:val="0"/>
          <w:kern w:val="0"/>
          <w:sz w:val="32"/>
          <w:szCs w:val="32"/>
          <w:lang w:val="zh-CN"/>
        </w:rPr>
        <w:t>第十九节　环境影响评价结论</w:t>
      </w:r>
      <w:bookmarkEnd w:id="134"/>
      <w:bookmarkEnd w:id="135"/>
      <w:bookmarkEnd w:id="136"/>
      <w:bookmarkEnd w:id="137"/>
      <w:bookmarkEnd w:id="138"/>
    </w:p>
    <w:p>
      <w:pPr>
        <w:tabs>
          <w:tab w:val="left" w:pos="7584"/>
        </w:tabs>
        <w:overflowPunct w:val="0"/>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根据安徽省水域滩涂资源、水文气候条件、水生生物资源、水域环境状况，开展了水域滩涂承载力评价和水产养殖业发展分析，科学划定禁止养殖区、限制养殖区和养殖区，与相关规划文件的环境协调性良好。《规划》通过严格生产监管、养殖权益保护、转变发展方式、改善养殖环境、加大资金投入、加强宣传引导等措施，总体上对安徽省的环境保护有积极作用和正面影响，有助于养护水生生物资源，改善水域生态环境，有效防控水产养殖污染，促进水产养殖业转型升级和绿色高质量发展，将产生显著的经济、生态和社会效益。</w:t>
      </w:r>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p>
    <w:p>
      <w:pPr>
        <w:tabs>
          <w:tab w:val="left" w:pos="420"/>
        </w:tabs>
        <w:adjustRightInd w:val="0"/>
        <w:snapToGrid w:val="0"/>
        <w:spacing w:line="600" w:lineRule="exact"/>
        <w:jc w:val="center"/>
        <w:outlineLvl w:val="0"/>
        <w:rPr>
          <w:rFonts w:ascii="Times New Roman" w:hAnsi="Times New Roman" w:eastAsia="黑体"/>
          <w:snapToGrid w:val="0"/>
          <w:kern w:val="0"/>
          <w:sz w:val="32"/>
          <w:szCs w:val="32"/>
        </w:rPr>
      </w:pPr>
      <w:bookmarkStart w:id="139" w:name="_Toc130907278"/>
      <w:r>
        <w:rPr>
          <w:rFonts w:ascii="Times New Roman" w:hAnsi="Times New Roman" w:eastAsia="黑体"/>
          <w:snapToGrid w:val="0"/>
          <w:kern w:val="0"/>
          <w:sz w:val="32"/>
          <w:szCs w:val="32"/>
        </w:rPr>
        <w:t>第六章　附　则</w:t>
      </w:r>
      <w:bookmarkEnd w:id="139"/>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140" w:name="_Toc1937924244"/>
      <w:bookmarkStart w:id="141" w:name="_Toc130907279"/>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lang w:val="zh-CN"/>
        </w:rPr>
        <w:t>第二十节　规划效力</w:t>
      </w:r>
      <w:bookmarkEnd w:id="140"/>
      <w:bookmarkEnd w:id="141"/>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养殖水域滩涂规划一经批准发布，即具有约束效力，必须严格执行，未经规定程序，任何单位和个人不得随意更改。实施过程中，有关法律法规和规章制度发生变化的，按有关法律法规和规章制度执行。</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规划期内如因自然保护地、生态保护红线、重大项目建设等调整导致养殖水域滩涂功能区发生改变确需修改的，按程序和相关规则对本规划进行相应的调整或修订。</w:t>
      </w:r>
    </w:p>
    <w:p>
      <w:pPr>
        <w:adjustRightInd w:val="0"/>
        <w:snapToGrid w:val="0"/>
        <w:spacing w:line="600" w:lineRule="exact"/>
        <w:ind w:firstLine="640" w:firstLineChars="200"/>
        <w:rPr>
          <w:rFonts w:ascii="Times New Roman" w:hAnsi="Times New Roman" w:eastAsia="仿宋_GB2312"/>
          <w:snapToGrid w:val="0"/>
          <w:kern w:val="0"/>
          <w:sz w:val="32"/>
          <w:szCs w:val="32"/>
        </w:rPr>
      </w:pPr>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142" w:name="_Toc759244955"/>
      <w:bookmarkStart w:id="143" w:name="_Toc130907280"/>
      <w:r>
        <w:rPr>
          <w:rFonts w:ascii="Times New Roman" w:hAnsi="Times New Roman" w:eastAsia="楷体_GB2312"/>
          <w:snapToGrid w:val="0"/>
          <w:kern w:val="0"/>
          <w:sz w:val="32"/>
          <w:szCs w:val="32"/>
          <w:lang w:val="zh-CN"/>
        </w:rPr>
        <w:t>第二十一节　规划图件</w:t>
      </w:r>
      <w:bookmarkEnd w:id="142"/>
      <w:bookmarkEnd w:id="143"/>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规划图件为规划文本附件，具有与文本同等效力。</w:t>
      </w:r>
    </w:p>
    <w:p>
      <w:pPr>
        <w:spacing w:line="600" w:lineRule="exact"/>
        <w:jc w:val="left"/>
        <w:outlineLvl w:val="0"/>
        <w:rPr>
          <w:rFonts w:ascii="Times New Roman" w:hAnsi="Times New Roman" w:eastAsia="黑体"/>
          <w:snapToGrid w:val="0"/>
          <w:sz w:val="32"/>
          <w:szCs w:val="32"/>
        </w:rPr>
      </w:pPr>
      <w:r>
        <w:rPr>
          <w:rFonts w:ascii="Times New Roman" w:hAnsi="Times New Roman" w:eastAsia="仿宋_GB2312"/>
          <w:snapToGrid w:val="0"/>
          <w:kern w:val="0"/>
          <w:sz w:val="32"/>
          <w:szCs w:val="32"/>
        </w:rPr>
        <w:br w:type="page"/>
      </w:r>
      <w:r>
        <w:rPr>
          <w:rFonts w:ascii="Times New Roman" w:hAnsi="Times New Roman" w:eastAsia="黑体"/>
          <w:snapToGrid w:val="0"/>
          <w:sz w:val="32"/>
          <w:szCs w:val="32"/>
        </w:rPr>
        <w:t>附件1</w:t>
      </w:r>
    </w:p>
    <w:p>
      <w:pPr>
        <w:spacing w:line="600" w:lineRule="exact"/>
        <w:jc w:val="center"/>
        <w:outlineLvl w:val="0"/>
        <w:rPr>
          <w:rFonts w:ascii="Times New Roman" w:hAnsi="Times New Roman" w:eastAsia="方正小标宋简体"/>
          <w:snapToGrid w:val="0"/>
          <w:sz w:val="44"/>
          <w:szCs w:val="44"/>
        </w:rPr>
      </w:pPr>
      <w:bookmarkStart w:id="144" w:name="_Toc130907281"/>
      <w:bookmarkStart w:id="145" w:name="_Toc1537116125"/>
    </w:p>
    <w:p>
      <w:pPr>
        <w:spacing w:line="600" w:lineRule="exact"/>
        <w:jc w:val="center"/>
        <w:outlineLvl w:val="0"/>
        <w:rPr>
          <w:rFonts w:ascii="Times New Roman" w:hAnsi="Times New Roman" w:eastAsia="方正小标宋简体"/>
          <w:snapToGrid w:val="0"/>
          <w:sz w:val="44"/>
          <w:szCs w:val="44"/>
        </w:rPr>
      </w:pPr>
      <w:r>
        <w:rPr>
          <w:rFonts w:ascii="Times New Roman" w:hAnsi="Times New Roman" w:eastAsia="方正小标宋简体"/>
          <w:snapToGrid w:val="0"/>
          <w:sz w:val="44"/>
          <w:szCs w:val="44"/>
        </w:rPr>
        <w:t>安徽省养殖水域滩涂功能区划表</w:t>
      </w:r>
      <w:bookmarkEnd w:id="144"/>
      <w:bookmarkEnd w:id="145"/>
    </w:p>
    <w:p>
      <w:pPr>
        <w:spacing w:line="600" w:lineRule="exact"/>
        <w:jc w:val="center"/>
        <w:rPr>
          <w:rFonts w:ascii="Times New Roman" w:hAnsi="Times New Roman" w:eastAsia="方正小标宋简体"/>
          <w:snapToGrid w:val="0"/>
          <w:sz w:val="44"/>
          <w:szCs w:val="44"/>
        </w:rPr>
      </w:pPr>
    </w:p>
    <w:tbl>
      <w:tblPr>
        <w:tblStyle w:val="3"/>
        <w:tblW w:w="5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399"/>
        <w:gridCol w:w="756"/>
        <w:gridCol w:w="1022"/>
        <w:gridCol w:w="960"/>
        <w:gridCol w:w="1745"/>
        <w:gridCol w:w="2998"/>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1" w:type="dxa"/>
            <w:gridSpan w:val="2"/>
            <w:vAlign w:val="center"/>
          </w:tcPr>
          <w:p>
            <w:pPr>
              <w:adjustRightInd w:val="0"/>
              <w:snapToGrid w:val="0"/>
              <w:spacing w:line="240" w:lineRule="exact"/>
              <w:jc w:val="center"/>
              <w:rPr>
                <w:rFonts w:ascii="Times New Roman" w:hAnsi="Times New Roman"/>
                <w:snapToGrid w:val="0"/>
                <w:kern w:val="0"/>
                <w:sz w:val="18"/>
                <w:szCs w:val="18"/>
              </w:rPr>
            </w:pPr>
            <w:r>
              <w:rPr>
                <w:rFonts w:ascii="Times New Roman" w:hAnsi="Times New Roman"/>
                <w:snapToGrid w:val="0"/>
                <w:kern w:val="0"/>
                <w:sz w:val="18"/>
                <w:szCs w:val="18"/>
                <w:lang w:bidi="ar"/>
              </w:rPr>
              <w:t>一级</w:t>
            </w:r>
          </w:p>
        </w:tc>
        <w:tc>
          <w:tcPr>
            <w:tcW w:w="1778" w:type="dxa"/>
            <w:gridSpan w:val="2"/>
            <w:vAlign w:val="center"/>
          </w:tcPr>
          <w:p>
            <w:pPr>
              <w:adjustRightInd w:val="0"/>
              <w:snapToGrid w:val="0"/>
              <w:spacing w:line="240" w:lineRule="exact"/>
              <w:jc w:val="center"/>
              <w:rPr>
                <w:rFonts w:ascii="Times New Roman" w:hAnsi="Times New Roman"/>
                <w:snapToGrid w:val="0"/>
                <w:kern w:val="0"/>
                <w:sz w:val="18"/>
                <w:szCs w:val="18"/>
              </w:rPr>
            </w:pPr>
            <w:r>
              <w:rPr>
                <w:rFonts w:ascii="Times New Roman" w:hAnsi="Times New Roman"/>
                <w:snapToGrid w:val="0"/>
                <w:kern w:val="0"/>
                <w:sz w:val="18"/>
                <w:szCs w:val="18"/>
                <w:lang w:bidi="ar"/>
              </w:rPr>
              <w:t>二级</w:t>
            </w:r>
          </w:p>
        </w:tc>
        <w:tc>
          <w:tcPr>
            <w:tcW w:w="2705" w:type="dxa"/>
            <w:gridSpan w:val="2"/>
            <w:vAlign w:val="center"/>
          </w:tcPr>
          <w:p>
            <w:pPr>
              <w:adjustRightInd w:val="0"/>
              <w:snapToGrid w:val="0"/>
              <w:spacing w:line="240" w:lineRule="exact"/>
              <w:jc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4293" w:type="dxa"/>
            <w:gridSpan w:val="2"/>
            <w:vMerge w:val="restart"/>
            <w:noWrap/>
            <w:vAlign w:val="center"/>
          </w:tcPr>
          <w:p>
            <w:pPr>
              <w:adjustRightInd w:val="0"/>
              <w:snapToGrid w:val="0"/>
              <w:spacing w:line="240" w:lineRule="exact"/>
              <w:jc w:val="center"/>
              <w:rPr>
                <w:rFonts w:ascii="Times New Roman" w:hAnsi="Times New Roman"/>
                <w:snapToGrid w:val="0"/>
                <w:kern w:val="0"/>
                <w:sz w:val="18"/>
                <w:szCs w:val="18"/>
              </w:rPr>
            </w:pPr>
            <w:r>
              <w:rPr>
                <w:rFonts w:ascii="Times New Roman" w:hAnsi="Times New Roman"/>
                <w:snapToGrid w:val="0"/>
                <w:kern w:val="0"/>
                <w:sz w:val="18"/>
                <w:szCs w:val="18"/>
                <w:lang w:bidi="ar"/>
              </w:rPr>
              <w:t>范围面积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代码</w:t>
            </w:r>
          </w:p>
        </w:tc>
        <w:tc>
          <w:tcPr>
            <w:tcW w:w="39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名称</w:t>
            </w: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代码</w:t>
            </w:r>
          </w:p>
        </w:tc>
        <w:tc>
          <w:tcPr>
            <w:tcW w:w="102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名称</w:t>
            </w: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代码</w:t>
            </w:r>
          </w:p>
        </w:tc>
        <w:tc>
          <w:tcPr>
            <w:tcW w:w="1745"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名称</w:t>
            </w:r>
          </w:p>
        </w:tc>
        <w:tc>
          <w:tcPr>
            <w:tcW w:w="4293" w:type="dxa"/>
            <w:gridSpan w:val="2"/>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399"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禁止</w:t>
            </w:r>
          </w:p>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养殖区</w:t>
            </w: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饮用水水源地一级保护区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169处，详见附件2</w:t>
            </w:r>
          </w:p>
        </w:tc>
        <w:tc>
          <w:tcPr>
            <w:tcW w:w="1295"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合计</w:t>
            </w:r>
          </w:p>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59.4万公顷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自然保护区核心保护区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41处，详见附件2</w:t>
            </w: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水产种质资源保护区核心区（含河道类型的实验区）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37处，详见附件2</w:t>
            </w: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1022" w:type="dxa"/>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航道、港口、行洪区、河道堤防安全保护区等公共设施安全区域</w:t>
            </w:r>
          </w:p>
        </w:tc>
        <w:tc>
          <w:tcPr>
            <w:tcW w:w="96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航道保护区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167条，详见附件2</w:t>
            </w: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1022"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96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港口作业区</w:t>
            </w:r>
          </w:p>
        </w:tc>
        <w:tc>
          <w:tcPr>
            <w:tcW w:w="2998" w:type="dxa"/>
            <w:noWrap/>
            <w:vAlign w:val="center"/>
          </w:tcPr>
          <w:p>
            <w:pPr>
              <w:adjustRightInd w:val="0"/>
              <w:snapToGrid w:val="0"/>
              <w:spacing w:line="240" w:lineRule="exact"/>
              <w:rPr>
                <w:rFonts w:ascii="Times New Roman" w:hAnsi="Times New Roman"/>
                <w:snapToGrid w:val="0"/>
                <w:kern w:val="0"/>
                <w:sz w:val="18"/>
                <w:szCs w:val="18"/>
              </w:rPr>
            </w:pPr>
            <w:r>
              <w:rPr>
                <w:rFonts w:ascii="Times New Roman" w:hAnsi="Times New Roman"/>
                <w:snapToGrid w:val="0"/>
                <w:kern w:val="0"/>
                <w:sz w:val="18"/>
                <w:szCs w:val="18"/>
                <w:lang w:bidi="ar"/>
              </w:rPr>
              <w:t>16处，详见附件2</w:t>
            </w: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1022"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96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行洪区河道堤防</w:t>
            </w:r>
          </w:p>
        </w:tc>
        <w:tc>
          <w:tcPr>
            <w:tcW w:w="2998" w:type="dxa"/>
            <w:noWrap/>
            <w:vAlign w:val="center"/>
          </w:tcPr>
          <w:p>
            <w:pPr>
              <w:adjustRightInd w:val="0"/>
              <w:snapToGrid w:val="0"/>
              <w:spacing w:line="240" w:lineRule="exact"/>
              <w:rPr>
                <w:rFonts w:ascii="Times New Roman" w:hAnsi="Times New Roman"/>
                <w:snapToGrid w:val="0"/>
                <w:kern w:val="0"/>
                <w:sz w:val="18"/>
                <w:szCs w:val="18"/>
              </w:rPr>
            </w:pPr>
            <w:r>
              <w:rPr>
                <w:rFonts w:ascii="Times New Roman" w:hAnsi="Times New Roman"/>
                <w:snapToGrid w:val="0"/>
                <w:kern w:val="0"/>
                <w:sz w:val="18"/>
                <w:szCs w:val="18"/>
                <w:lang w:bidi="ar"/>
              </w:rPr>
              <w:t>长江、淮河安徽段及其他开放性河流河道行洪区、堤防安全区</w:t>
            </w: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有毒有害物质超过规定标准的水体</w:t>
            </w:r>
          </w:p>
        </w:tc>
        <w:tc>
          <w:tcPr>
            <w:tcW w:w="2998" w:type="dxa"/>
            <w:noWrap/>
            <w:vAlign w:val="center"/>
          </w:tcPr>
          <w:p>
            <w:pPr>
              <w:adjustRightInd w:val="0"/>
              <w:snapToGrid w:val="0"/>
              <w:spacing w:line="240" w:lineRule="exact"/>
              <w:rPr>
                <w:rFonts w:ascii="Times New Roman" w:hAnsi="Times New Roman"/>
                <w:snapToGrid w:val="0"/>
                <w:kern w:val="0"/>
                <w:sz w:val="18"/>
                <w:szCs w:val="18"/>
              </w:rPr>
            </w:pP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法律法规规定的其他禁止养殖区</w:t>
            </w:r>
          </w:p>
        </w:tc>
        <w:tc>
          <w:tcPr>
            <w:tcW w:w="2998" w:type="dxa"/>
            <w:noWrap/>
            <w:vAlign w:val="center"/>
          </w:tcPr>
          <w:p>
            <w:pPr>
              <w:adjustRightInd w:val="0"/>
              <w:snapToGrid w:val="0"/>
              <w:spacing w:line="240" w:lineRule="exact"/>
              <w:rPr>
                <w:rFonts w:ascii="Times New Roman" w:hAnsi="Times New Roman"/>
                <w:snapToGrid w:val="0"/>
                <w:kern w:val="0"/>
                <w:sz w:val="18"/>
                <w:szCs w:val="18"/>
              </w:rPr>
            </w:pP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399"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限制</w:t>
            </w:r>
          </w:p>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养殖区</w:t>
            </w: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饮用水水源地二级保护区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详见附件3（不含已列入禁养区的水域滩涂）</w:t>
            </w:r>
          </w:p>
        </w:tc>
        <w:tc>
          <w:tcPr>
            <w:tcW w:w="1295"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合计</w:t>
            </w:r>
          </w:p>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33.6万公顷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1022" w:type="dxa"/>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自然保护地等生态功能区</w:t>
            </w: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2－2－1</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自然保护区一般控制区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41处，详见附件3</w:t>
            </w:r>
          </w:p>
        </w:tc>
        <w:tc>
          <w:tcPr>
            <w:tcW w:w="1295"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1022"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2－2－2</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湿地公园、风景名胜区、森林公园、地质公园等生态功能区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192处，详见附件3（按规定限制养殖的水域滩涂）</w:t>
            </w:r>
          </w:p>
        </w:tc>
        <w:tc>
          <w:tcPr>
            <w:tcW w:w="1295"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水产种质资源保护区实验区（不含纳入河道行洪区的实验区）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15处，详见附件3</w:t>
            </w:r>
          </w:p>
        </w:tc>
        <w:tc>
          <w:tcPr>
            <w:tcW w:w="1295"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重点湖泊水库</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详见附件3（列入安徽省湖泊保护名录的湖泊水库，不含已列入禁养区的水域滩涂）</w:t>
            </w:r>
          </w:p>
        </w:tc>
        <w:tc>
          <w:tcPr>
            <w:tcW w:w="1295"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3727" w:type="dxa"/>
            <w:gridSpan w:val="3"/>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法律法规规定的其他限制养殖区</w:t>
            </w:r>
          </w:p>
        </w:tc>
        <w:tc>
          <w:tcPr>
            <w:tcW w:w="2998" w:type="dxa"/>
            <w:noWrap/>
            <w:vAlign w:val="center"/>
          </w:tcPr>
          <w:p>
            <w:pPr>
              <w:adjustRightInd w:val="0"/>
              <w:snapToGrid w:val="0"/>
              <w:spacing w:line="240" w:lineRule="exact"/>
              <w:rPr>
                <w:rFonts w:ascii="Times New Roman" w:hAnsi="Times New Roman"/>
                <w:snapToGrid w:val="0"/>
                <w:kern w:val="0"/>
                <w:sz w:val="18"/>
                <w:szCs w:val="18"/>
              </w:rPr>
            </w:pPr>
            <w:r>
              <w:rPr>
                <w:rFonts w:ascii="Times New Roman" w:hAnsi="Times New Roman"/>
                <w:snapToGrid w:val="0"/>
                <w:kern w:val="0"/>
                <w:sz w:val="18"/>
                <w:szCs w:val="18"/>
              </w:rPr>
              <w:t>生态保护红线内的水域滩涂等情形</w:t>
            </w:r>
          </w:p>
        </w:tc>
        <w:tc>
          <w:tcPr>
            <w:tcW w:w="1295"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399"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养殖区</w:t>
            </w:r>
          </w:p>
        </w:tc>
        <w:tc>
          <w:tcPr>
            <w:tcW w:w="756"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1022" w:type="dxa"/>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淡水养殖区</w:t>
            </w: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3－1－1</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池塘养殖区</w:t>
            </w:r>
          </w:p>
        </w:tc>
        <w:tc>
          <w:tcPr>
            <w:tcW w:w="299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217483公顷，详见附件4</w:t>
            </w:r>
          </w:p>
        </w:tc>
        <w:tc>
          <w:tcPr>
            <w:tcW w:w="1295"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合计</w:t>
            </w:r>
          </w:p>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30.24万公顷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1022"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3－1－2</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湖泊养殖区</w:t>
            </w:r>
          </w:p>
        </w:tc>
        <w:tc>
          <w:tcPr>
            <w:tcW w:w="299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5739公顷，详见附件4</w:t>
            </w:r>
          </w:p>
        </w:tc>
        <w:tc>
          <w:tcPr>
            <w:tcW w:w="1295" w:type="dxa"/>
            <w:vMerge w:val="continue"/>
            <w:noWrap/>
            <w:vAlign w:val="center"/>
          </w:tcPr>
          <w:p>
            <w:pPr>
              <w:adjustRightInd w:val="0"/>
              <w:snapToGrid w:val="0"/>
              <w:spacing w:line="240" w:lineRule="exact"/>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1022"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3－1－3</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水库养殖区</w:t>
            </w:r>
          </w:p>
        </w:tc>
        <w:tc>
          <w:tcPr>
            <w:tcW w:w="299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24886公顷，详见附件4</w:t>
            </w:r>
          </w:p>
        </w:tc>
        <w:tc>
          <w:tcPr>
            <w:tcW w:w="1295" w:type="dxa"/>
            <w:vMerge w:val="continue"/>
            <w:noWrap/>
            <w:vAlign w:val="center"/>
          </w:tcPr>
          <w:p>
            <w:pPr>
              <w:adjustRightInd w:val="0"/>
              <w:snapToGrid w:val="0"/>
              <w:spacing w:line="240" w:lineRule="exact"/>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1022"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3－1－4</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其他养殖区</w:t>
            </w:r>
          </w:p>
        </w:tc>
        <w:tc>
          <w:tcPr>
            <w:tcW w:w="299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54280公顷，详见附件4</w:t>
            </w:r>
          </w:p>
        </w:tc>
        <w:tc>
          <w:tcPr>
            <w:tcW w:w="1295" w:type="dxa"/>
            <w:vMerge w:val="continue"/>
            <w:noWrap/>
            <w:vAlign w:val="center"/>
          </w:tcPr>
          <w:p>
            <w:pPr>
              <w:adjustRightInd w:val="0"/>
              <w:snapToGrid w:val="0"/>
              <w:spacing w:line="240" w:lineRule="exact"/>
              <w:rPr>
                <w:rFonts w:ascii="Times New Roman" w:hAnsi="Times New Roman"/>
                <w:snapToGrid w:val="0"/>
                <w:kern w:val="0"/>
                <w:sz w:val="18"/>
                <w:szCs w:val="18"/>
              </w:rPr>
            </w:pPr>
          </w:p>
        </w:tc>
      </w:tr>
    </w:tbl>
    <w:p>
      <w:pPr>
        <w:spacing w:line="600" w:lineRule="exact"/>
        <w:jc w:val="left"/>
        <w:outlineLvl w:val="0"/>
        <w:rPr>
          <w:rFonts w:ascii="Times New Roman" w:hAnsi="Times New Roman" w:eastAsia="黑体"/>
          <w:snapToGrid w:val="0"/>
          <w:sz w:val="32"/>
          <w:szCs w:val="32"/>
        </w:rPr>
      </w:pPr>
      <w:bookmarkStart w:id="146" w:name="_Toc130907282"/>
      <w:bookmarkStart w:id="147" w:name="_Toc572551211"/>
      <w:r>
        <w:rPr>
          <w:rFonts w:ascii="Times New Roman" w:hAnsi="Times New Roman" w:eastAsia="黑体"/>
          <w:snapToGrid w:val="0"/>
          <w:sz w:val="32"/>
          <w:szCs w:val="32"/>
        </w:rPr>
        <w:t>附件2</w:t>
      </w:r>
    </w:p>
    <w:p>
      <w:pPr>
        <w:spacing w:line="600" w:lineRule="exact"/>
        <w:jc w:val="center"/>
        <w:outlineLvl w:val="0"/>
        <w:rPr>
          <w:rFonts w:ascii="Times New Roman" w:hAnsi="Times New Roman" w:eastAsia="方正小标宋简体"/>
          <w:snapToGrid w:val="0"/>
          <w:sz w:val="44"/>
          <w:szCs w:val="44"/>
        </w:rPr>
      </w:pPr>
    </w:p>
    <w:p>
      <w:pPr>
        <w:spacing w:line="600" w:lineRule="exact"/>
        <w:jc w:val="center"/>
        <w:outlineLvl w:val="0"/>
        <w:rPr>
          <w:rFonts w:ascii="Times New Roman" w:hAnsi="Times New Roman" w:eastAsia="方正小标宋简体"/>
          <w:snapToGrid w:val="0"/>
          <w:sz w:val="44"/>
          <w:szCs w:val="44"/>
        </w:rPr>
      </w:pPr>
      <w:r>
        <w:rPr>
          <w:rFonts w:ascii="Times New Roman" w:hAnsi="Times New Roman" w:eastAsia="方正小标宋简体"/>
          <w:snapToGrid w:val="0"/>
          <w:sz w:val="44"/>
          <w:szCs w:val="44"/>
        </w:rPr>
        <w:t>安徽省养殖水域滩涂禁止养殖区名录</w:t>
      </w:r>
      <w:bookmarkEnd w:id="146"/>
      <w:bookmarkEnd w:id="147"/>
    </w:p>
    <w:p>
      <w:pPr>
        <w:rPr>
          <w:rFonts w:ascii="Times New Roman" w:hAnsi="Times New Roman" w:eastAsia="仿宋_GB2312"/>
          <w:snapToGrid w:val="0"/>
          <w:sz w:val="30"/>
          <w:szCs w:val="24"/>
        </w:rPr>
      </w:pPr>
    </w:p>
    <w:p>
      <w:pPr>
        <w:rPr>
          <w:rFonts w:ascii="Times New Roman" w:hAnsi="Times New Roman" w:eastAsia="黑体"/>
          <w:snapToGrid w:val="0"/>
          <w:sz w:val="30"/>
          <w:szCs w:val="24"/>
        </w:rPr>
      </w:pPr>
      <w:r>
        <w:rPr>
          <w:rFonts w:ascii="Times New Roman" w:hAnsi="Times New Roman" w:eastAsia="黑体"/>
          <w:snapToGrid w:val="0"/>
          <w:sz w:val="30"/>
          <w:szCs w:val="24"/>
        </w:rPr>
        <w:t>1－1饮用水水源地一级保护区，169处</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3868"/>
        <w:gridCol w:w="757"/>
        <w:gridCol w:w="305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9"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2135"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水源保护区名称</w:t>
            </w:r>
          </w:p>
        </w:tc>
        <w:tc>
          <w:tcPr>
            <w:tcW w:w="418"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所在市</w:t>
            </w:r>
          </w:p>
        </w:tc>
        <w:tc>
          <w:tcPr>
            <w:tcW w:w="1687"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水源地名称</w:t>
            </w:r>
          </w:p>
        </w:tc>
        <w:tc>
          <w:tcPr>
            <w:tcW w:w="492"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禁养区位置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合肥市巢湖市三水厂水源地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巢湖市三水厂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合肥市肥东县众兴水库水源地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众兴水库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合肥市庐江县果园山水库水源地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果园山水库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合肥市董铺水库水源地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董铺水库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合肥市大房郢水库水源地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大房郢水库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合肥市巢湖市下汤水库备用水源保护区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巢湖市下汤水库备用水源保护区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合肥市肥东县滁河干渠备用水源保护区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肥东县滁河干渠备用水源保护区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合肥市庐江县城备用水源保护区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庐江县城备用水源保护区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合肥市长丰县瓦埠湖饮用水水源保护区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长丰县瓦埠湖饮用水水源保护区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淮北市财校水源地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淮北财校</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淮北市政工程处水源地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淮北市政工程处</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淮北市自来水厂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淮北市自来水公司</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淮北市一中水源地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淮北一中</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淮北市九一零厂水源地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九一零厂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淮北市濉溪县水厂水源地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濉溪县水厂水源地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亳州市三水厂水源地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三水厂水源地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亳州市应急加压泵站水源地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亳州市应急加压泵站水源地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亳州市涡北水厂水源地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涡北水厂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一水厂井区(6号井区）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亳州市一水厂水源地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亳州市蒙城县梁土山备用水源地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蒙城县梁土山备用水源地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亳州市蒙城县三水厂水源地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蒙城县第三自来水厂茨淮新河水源地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亳州市利辛县自来水厂水源地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利辛县自来水厂水源地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亳州市蒙城县地下水水源地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蒙城县地下水水源地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亳州市调蓄水库饮用水水源保护区_调蓄水库片区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亳州市调蓄水库饮用水水源保护区_西淝河片区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亳州市涡阳县城市集中式饮用水源保护区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涡阳县城市集中式饮用水源地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亳州市利辛县城地表水厂饮用水水源保护区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利辛县城地表水厂饮用水水源保护区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一水厂5号井</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宿州市汴北水厂水源地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汴北水厂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宿州市宿城备用水源地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宿州市汴北水厂水源地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汴北水厂1号井</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宿州市新水厂水源地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新水厂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宿州市萧县自来水厂水源地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萧县自来水厂水源地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宿州市泗县城市地表水厂水源地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泗县城市地表水厂水源地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宿州市灵璧县自来水厂水源地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灵璧自来水厂水源地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宿州市泗县自来水厂水源地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泗县自来水厂水源地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宿州市砀山北郊水厂水源地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砀山北郊水厂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宿州市砀山第一水厂水源地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砀山第一水厂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宿州市第四水厂饮用水水源保护区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宿州市第四水厂饮用水水源保护区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蚌埠市五河县一水厂水源地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五河县一水厂水源地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蚌埠市固镇县城市自来水厂、固镇经济开发区自来水厂水源地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固镇县经济开发区自来水厂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蚌埠市固镇县水厂水源地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固镇县水厂水源地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蚌埠市五河县城南地表水厂水源地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五河县城南地表水厂水源地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怀远县一水厂水源地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蚌埠市怀远县新城区自来水厂水源地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怀远县新城区自来水厂水源地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蚌埠市怀远县三水厂水源地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怀远县三水厂水源地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蚌埠市怀远县城西水厂水源地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怀远县城西水厂水源地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蚌埠市天河备用水源地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天河饮用水水源地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蚌埠市淮河蚌埠闸上饮用水水源保护区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淮河蚌埠闸上饮用水水源保护区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阜阳市青年路加压泵站水源地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阜阳市自来水公司</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阜阳市加压站水源地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市加压站</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阜阳市颍南加压泵站水源地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颍南加压站</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阜阳市二水厂茨淮新河水源地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茨淮新河</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阜阳市加压站水源地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阜阳市加压站水源地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阜阳市阜南县自来水公司水源地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阜南县自来水公司水源地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阜阳市界首市自来水公司水源地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界首市自来水公司水源地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阜阳市太和县自来水公司水源地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太和县自来水公司水源地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阜阳市颍上县自来水公司水源地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颍上县自来水公司水源地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阜阳市临泉县自来水公司水源地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临泉县自来水公司水源地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阜阳市三水厂水源地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阜阳市三水厂水源地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阜阳市阜南县城南地表水厂饮用水水源保护区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阜南县城南地表水厂饮用水水源保护区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阜阳市颍上县城地表水厂饮用水水源保护区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颍上县城地表水厂饮用水水源保护区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淮南市凤台县水厂水源地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凤台县水厂饮用水水源地保护区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淮南市毛集实验区水厂水源地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毛集试验区水厂饮用水水源地保护区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淮南市东部城区水厂水源地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东部城区水厂饮用水水源地保护区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淮南市寿县二水厂水源地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寿县二水厂饮用水水源地保护区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淮南市平山头水厂水源地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平山头水厂饮用水水源地保护区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淮南市袁庄水厂水源地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袁庄水厂饮用水水源地保护区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淮南市凤台县地下水水源地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凤台县地下水水源地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淮南市寿县安丰塘备用水源保护区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寿县安丰塘备用水源保护区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滁州市全椒县赵店水库水源地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赵店水库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滁州市天长市釜山水库水源地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釜山水库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滁州市明光市石坝水库水源地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石坝水库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滁州市来安县陈郢水库水源地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陈郢水库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滁州市全椒县黄栗树水库水源地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黄栗树水库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滁州市天长市高邮湖水源地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高邮湖一级保护区水域</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滁州市沙河集水库水源地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沙河集水源保护区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滁州市天长市地下水水源地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天长市地下水水源地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滁州市来安县屯仓水库水源地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来安县屯仓水库水源地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滁州市凤阳县凤阳山水库水源保护区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凤阳山水库水源一级保护区水域</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滁州市凤阳县县城备用水源保护区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凤阳县城备用水源地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滁州市定远县城北水库和解放水库饮用水水源保护区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定远县城北水库和解放水库饮用水水源保护区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滁州市定远县蔡桥水库饮用水水源保护区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定远县蔡桥水库饮用水水源保护区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滁州市西涧湖饮用水水源保护区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西涧湖水源保护区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滁州市明光市南沙河饮用水水源保护区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南沙河</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滁州市来安县平阳水库饮用水水源保护区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来安县平阳水库饮用水水源保护区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六安市一水厂、二水厂、东城水厂、新城水厂</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淠河总干渠</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六安市霍邱县城东湖水源地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霍邱县二水厂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六安市金寨县梅山水库水源地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梅山水库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六安市霍山县前进水库水源地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霍山县前进水库水源地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六安市霍山佛子岭水库水源地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霍山佛子岭水库水源地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六安市大公堰备用水源地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六安市大公堰备用水源地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六安市霍邱县城备用水源保护区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霍邱县二水厂备用水源保护区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六安市金寨县城备用水源保护区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金寨县城备用水源保护区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六安市舒城县备用水源地保护区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舒城县备用水源地保护区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六安市舒城县第二自来水厂饮用水水源保护区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舒城县第二自来水厂饮用水水源保护区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马鞍山市采石水厂水源地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采石水厂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马鞍山市当涂县二水厂水源地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当涂县二水厂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马鞍山市含山县二水厂、和县和州自来水厂水源地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和县含山长江水源保护区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马鞍山市含山县长山水库备用饮用水水源保护区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长山水库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马鞍山市和县集中式饮用水备用水源保护区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和县集中式饮用水备用水源保护区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芜湖市无为县自来水有限责任公司（长江）水源地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无为县自来水厂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芜湖市南陵县二水厂水源地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南陵县二水厂水源地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芜湖市漳河水源地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芜湖市漳河水源地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芜湖市无为县西河水源地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无为县西河水源地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芜湖市芜湖县自来水厂水源地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芜湖县自来水厂一级水域保护区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芜湖市二水厂饮用水水源保护区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芜湖市四水厂饮用水水源保护区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四水厂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芜湖市三山水厂、繁昌芦南水厂饮用水水源保护区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芜湖市三山水厂、繁昌芦南水厂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芜湖市无为市高沟饮用水水源保护区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无为市高沟饮用水水源保护区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宣城市广德市卢村水库水源地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卢村水库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宣城市绩溪县扬之河水源地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扬之河</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宣城市绩溪县翚溪水库水源地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翚溪水库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宣城市旌德县白沙水库水源地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白沙水库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宣城市郎溪县龙须湖水源地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龙须湖水库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宣城市宁国市港口湾水库水源地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港口湾水库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宣城市大豪水厂水源地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大豪水厂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宣城市水阳江玉山水源地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水阳江玉山</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宣城市广德市粮长门水库备用水源保护区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广德粮长门水库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宣城市宁国市畈村水库备用水源保护区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宁国市畈村水库备用水源保护区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宣城市泾县县城备用水源保护区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泾县县城备用水源保护区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宣城市旌德县城备用水源保护区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旌德县城备用水源保护区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宣城市郎溪县城备用水源保护区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郎溪县城备用水源保护区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宣城市泾县县城（百园新村）饮用水水源保护区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泾县县城（百园新村）饮用水水源保护区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铜陵市枞阳县菜子湖水源地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枞阳县城备用水源地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铜陵市枞阳县自来水有限公司水源地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枞阳县自来水有限公司水源地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铜陵市南湖备用水源保护区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铜陵市南湖备用水源保护区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铜陵市五水厂饮用水源保护区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铜陵市五水厂饮用水源保护区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铜陵市一二三水厂饮用水源保护区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铜陵市一二三水厂饮用水源保护区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池州市石台县二水厂水源地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石台县二水厂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池州市东至县尧渡河水源地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东至县备用水厂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池州市东至县龙江水厂水源地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龙江水厂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池州市江口水厂水源地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江口水厂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池州市青阳县牛桥水库水源地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青阳县牛桥水库饮用水水源一级保护区水域</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池州市石台县古潭水库水源地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石台县古潭水库水源地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池州市青阳县石湖水库水源地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青阳县石湖水库备用水源地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池州市平天湖水源地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池州市平天湖水源地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池州市民生水厂水源地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池州市民生水厂水源地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安庆市宿松县钓鱼台水库水源地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宿松县钓鱼台水库水源地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安庆市桐城市牯牛背水库水源地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桐城牯牛背水库取水口1，2级线</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安庆市宿松县二水厂水源地（与一水厂共用取水口）</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宿松县第二自来水厂取水口（二郎河县大河段）</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安庆市岳西县鹭鸶河水源地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鹭鸶河（相公庙）</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安庆市桐城市境主庙水库水源地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桐城市境主庙水库水源地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安庆市石塘湖水源地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安庆市石塘湖应急备用水源地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安庆市太湖县汪洋水库水源地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太湖县汪洋水库备用水源地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安庆市望江县第二自来水公司水源地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望江县第二自来水有限公司</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安庆市望江县岚杆湖水源地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岚杆湖水源地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安庆市潜山市潜水水厂水源地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潜山市潜水水厂水源地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安庆市潜山市皖水水厂水源地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潜山市皖水水厂水源地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安庆市岳西县王河水库备用水源保护区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岳西县王河水库备用饮用水水源地保护区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安庆市太湖县县城饮用水水源保护区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太湖县县城饮用水水源保护区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安庆市怀宁县观音洞水库备用水源保护区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怀宁县观音洞水库备用水源保护区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黄山市屯溪区一水厂水源地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屯溪一水厂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黄山市黟县漳河水源地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黟县水厂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黄山市黟县二水厂（东亭河）水源地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奇墅湖</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黄山市祁门县阊江水源地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祁门水厂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黄山市黄山市月潭水库水源地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黄山市月潭水库水源地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黄山市歙县丰乐水库水源地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歙县丰乐水库水源地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黄山市歙县新安江渐江段备用水源地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歙县新安江渐江段备用水源地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黄山市祁门县西坞里水库水源地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祁门县西坞里水库水源地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黄山市黄山区二水厂饮用水水源保护区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黄山区二水厂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黄山市休宁县一水厂饮用水水源保护区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休宁县一水厂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黄山市屯溪区二水厂饮用水水源保护区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屯溪二水厂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黄山市徽州区一水厂饮用水水源保护区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徽州区一水厂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黄山市休宁县二水厂饮用水水源保护区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休宁二水厂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黄山市黄山区一水厂饮用水水源保护区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黄山区一水厂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bl>
    <w:p>
      <w:pPr>
        <w:rPr>
          <w:rFonts w:ascii="Times New Roman" w:hAnsi="Times New Roman" w:eastAsia="仿宋_GB2312"/>
          <w:snapToGrid w:val="0"/>
          <w:sz w:val="30"/>
          <w:szCs w:val="24"/>
        </w:rPr>
      </w:pPr>
    </w:p>
    <w:p>
      <w:pPr>
        <w:rPr>
          <w:rFonts w:ascii="Times New Roman" w:hAnsi="Times New Roman" w:eastAsia="黑体"/>
          <w:snapToGrid w:val="0"/>
          <w:sz w:val="30"/>
          <w:szCs w:val="24"/>
        </w:rPr>
      </w:pPr>
      <w:r>
        <w:rPr>
          <w:rFonts w:ascii="Times New Roman" w:hAnsi="Times New Roman" w:eastAsia="黑体"/>
          <w:snapToGrid w:val="0"/>
          <w:sz w:val="30"/>
          <w:szCs w:val="24"/>
        </w:rPr>
        <w:t>1－2 自然保护区核心保护区，41处</w:t>
      </w:r>
    </w:p>
    <w:tbl>
      <w:tblPr>
        <w:tblStyle w:val="3"/>
        <w:tblW w:w="5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979"/>
        <w:gridCol w:w="1674"/>
        <w:gridCol w:w="2322"/>
        <w:gridCol w:w="84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4"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2979"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名称</w:t>
            </w:r>
          </w:p>
        </w:tc>
        <w:tc>
          <w:tcPr>
            <w:tcW w:w="1674"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所在市</w:t>
            </w:r>
          </w:p>
        </w:tc>
        <w:tc>
          <w:tcPr>
            <w:tcW w:w="232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所在县（市、区）</w:t>
            </w:r>
          </w:p>
        </w:tc>
        <w:tc>
          <w:tcPr>
            <w:tcW w:w="84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级别</w:t>
            </w:r>
          </w:p>
        </w:tc>
        <w:tc>
          <w:tcPr>
            <w:tcW w:w="85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禁养区位置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安徽牯牛降国家级自然保护区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池州市、黄山市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石台县、祁门县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安徽清凉峰国家级自然保护区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黄山市、宣城市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歙县、绩溪县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安徽扬子鳄国家级自然保护区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宣城市、芜湖市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宣州区、郎溪县、广德市、泾县、南陵县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4</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安徽铜陵淡水豚国家级自然保护区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铜陵市、芜湖市、池州市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枞阳县、郊区、义安区、无为市、贵池区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5</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安徽天马国家级自然保护区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六安市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金寨县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6</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安徽升金湖国家级自然保护区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池州市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东至县、贵池区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7</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安徽岳西枯井园省级自然保护区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岳西县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8</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安徽鹞落坪国家级自然保护区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岳西县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9</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安徽安庆沿江湿地省级自然保护区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安庆市、铜陵市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宿松县、太湖县、望江县、枞阳县、桐城市、宜秀区枞阳县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10</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安徽安庆江豚省级自然保护区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安庆市、池州市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大观区、怀宁县、宿松县、太湖县、望江县、迎江区、桐城市、东至县、贵池区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11</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安徽萧县皇藏峪省级自然保护区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萧县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12</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安徽宿州大方寺省级自然保护区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萧县、埇桥区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13</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安徽泗县沱河省级自然保护区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泗县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14</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安徽萧县黄河故道省自然保护区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萧县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15</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安徽砀山黄河故道自然保护区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砀山</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16</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安徽砀山酥梨种质资源省级自然保护区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砀山县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17</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安徽五河沱湖省级自然保护区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蚌埠市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五河县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18</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安徽颍上八里河省级自然保护区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阜阳市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颍上县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19</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安徽颍州西湖省级自然保护区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阜阳市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颍州区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20</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安徽滁州皇甫山省级自然保护区</w:t>
            </w:r>
          </w:p>
        </w:tc>
        <w:tc>
          <w:tcPr>
            <w:tcW w:w="1674"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滁州市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定远县、南谯区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21</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安徽明光女山湖省级自然保护区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滁州市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明光市</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22</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安徽霍山佛子岭省级自然保护区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六安市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霍山县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23</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安徽霍邱东西湖省级自然保护区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六安市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霍邱县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24</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安徽金寨西河大鲵省级自然保护区</w:t>
            </w:r>
          </w:p>
        </w:tc>
        <w:tc>
          <w:tcPr>
            <w:tcW w:w="1674"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六安市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金寨县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25</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安徽当涂石臼湖省级自然保护区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马鞍山</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当涂县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26</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安徽宁国板桥省级自然保护区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宣城市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宁国市</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27</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安徽广德泰山省级自然保护区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宣城市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广德市</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28</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安徽贵池老山省级自然保护区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池州市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贵池区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29</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安徽青阳盘台省级自然保护区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池州市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青阳县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30</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安徽贵池十八索省级自然保护区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池州市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贵池区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31</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安徽潜山板仓省级自然保护区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潜山县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32</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安徽舒城万佛山省级自然保护区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舒城县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33</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安徽宿松华阳河湖群省级自然保护区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宿松县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34</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安徽休宁岭南省级自然保护区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休宁县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35</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安徽黄山区十里山省级自然保护区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36</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安徽黟县五溪山省级自然保护区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黟县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37</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安徽省徽州天湖省级自然保护区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徽州区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38</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安徽黄山区九龙峰省级自然保护区</w:t>
            </w:r>
          </w:p>
        </w:tc>
        <w:tc>
          <w:tcPr>
            <w:tcW w:w="1674"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39</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安徽祁门查湾省级自然保护区</w:t>
            </w:r>
          </w:p>
        </w:tc>
        <w:tc>
          <w:tcPr>
            <w:tcW w:w="1674"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祁门县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40</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安徽休宁六股尖省级自然保护区</w:t>
            </w:r>
          </w:p>
        </w:tc>
        <w:tc>
          <w:tcPr>
            <w:tcW w:w="1674"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休宁县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41</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安徽黄山大鲵省级自然保护区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休宁县、祁门县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bl>
    <w:p>
      <w:pPr>
        <w:rPr>
          <w:rFonts w:ascii="Times New Roman" w:hAnsi="Times New Roman" w:eastAsia="仿宋_GB2312"/>
          <w:snapToGrid w:val="0"/>
          <w:sz w:val="30"/>
          <w:szCs w:val="24"/>
        </w:rPr>
      </w:pPr>
    </w:p>
    <w:p>
      <w:pPr>
        <w:rPr>
          <w:rFonts w:ascii="Times New Roman" w:hAnsi="Times New Roman" w:eastAsia="黑体"/>
          <w:snapToGrid w:val="0"/>
          <w:sz w:val="30"/>
          <w:szCs w:val="24"/>
        </w:rPr>
      </w:pPr>
      <w:r>
        <w:rPr>
          <w:rFonts w:ascii="Times New Roman" w:hAnsi="Times New Roman" w:eastAsia="黑体"/>
          <w:snapToGrid w:val="0"/>
          <w:sz w:val="30"/>
          <w:szCs w:val="24"/>
        </w:rPr>
        <w:t>1－3 水产种质资源保护区核心区（含河道类型的实验区），37处</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992"/>
        <w:gridCol w:w="861"/>
        <w:gridCol w:w="1150"/>
        <w:gridCol w:w="1237"/>
        <w:gridCol w:w="106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58" w:type="dxa"/>
            <w:vMerge w:val="restart"/>
            <w:shd w:val="clear" w:color="auto" w:fill="auto"/>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2992" w:type="dxa"/>
            <w:vMerge w:val="restart"/>
            <w:shd w:val="clear" w:color="auto" w:fill="auto"/>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名称</w:t>
            </w:r>
          </w:p>
        </w:tc>
        <w:tc>
          <w:tcPr>
            <w:tcW w:w="861" w:type="dxa"/>
            <w:vMerge w:val="restart"/>
            <w:shd w:val="clear" w:color="auto" w:fill="auto"/>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级别</w:t>
            </w:r>
          </w:p>
        </w:tc>
        <w:tc>
          <w:tcPr>
            <w:tcW w:w="2387" w:type="dxa"/>
            <w:gridSpan w:val="2"/>
            <w:shd w:val="clear" w:color="auto" w:fill="auto"/>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行政区划</w:t>
            </w:r>
          </w:p>
        </w:tc>
        <w:tc>
          <w:tcPr>
            <w:tcW w:w="2262" w:type="dxa"/>
            <w:gridSpan w:val="2"/>
            <w:shd w:val="clear" w:color="auto" w:fill="FFFFFF"/>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禁止养殖区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58" w:type="dxa"/>
            <w:vMerge w:val="continue"/>
            <w:shd w:val="clear" w:color="auto" w:fill="auto"/>
            <w:vAlign w:val="center"/>
          </w:tcPr>
          <w:p>
            <w:pPr>
              <w:adjustRightInd w:val="0"/>
              <w:snapToGrid w:val="0"/>
              <w:spacing w:line="240" w:lineRule="exact"/>
              <w:jc w:val="center"/>
              <w:rPr>
                <w:rFonts w:ascii="Times New Roman" w:hAnsi="Times New Roman" w:eastAsia="黑体"/>
                <w:snapToGrid w:val="0"/>
                <w:kern w:val="0"/>
                <w:sz w:val="18"/>
                <w:szCs w:val="18"/>
              </w:rPr>
            </w:pPr>
          </w:p>
        </w:tc>
        <w:tc>
          <w:tcPr>
            <w:tcW w:w="2992" w:type="dxa"/>
            <w:vMerge w:val="continue"/>
            <w:shd w:val="clear" w:color="auto" w:fill="auto"/>
            <w:vAlign w:val="center"/>
          </w:tcPr>
          <w:p>
            <w:pPr>
              <w:adjustRightInd w:val="0"/>
              <w:snapToGrid w:val="0"/>
              <w:spacing w:line="240" w:lineRule="exact"/>
              <w:jc w:val="center"/>
              <w:rPr>
                <w:rFonts w:ascii="Times New Roman" w:hAnsi="Times New Roman" w:eastAsia="黑体"/>
                <w:snapToGrid w:val="0"/>
                <w:kern w:val="0"/>
                <w:sz w:val="18"/>
                <w:szCs w:val="18"/>
              </w:rPr>
            </w:pPr>
          </w:p>
        </w:tc>
        <w:tc>
          <w:tcPr>
            <w:tcW w:w="861" w:type="dxa"/>
            <w:vMerge w:val="continue"/>
            <w:shd w:val="clear" w:color="auto" w:fill="auto"/>
            <w:vAlign w:val="center"/>
          </w:tcPr>
          <w:p>
            <w:pPr>
              <w:adjustRightInd w:val="0"/>
              <w:snapToGrid w:val="0"/>
              <w:spacing w:line="240" w:lineRule="exact"/>
              <w:jc w:val="center"/>
              <w:rPr>
                <w:rFonts w:ascii="Times New Roman" w:hAnsi="Times New Roman" w:eastAsia="黑体"/>
                <w:snapToGrid w:val="0"/>
                <w:kern w:val="0"/>
                <w:sz w:val="18"/>
                <w:szCs w:val="18"/>
              </w:rPr>
            </w:pPr>
          </w:p>
        </w:tc>
        <w:tc>
          <w:tcPr>
            <w:tcW w:w="1150" w:type="dxa"/>
            <w:shd w:val="clear" w:color="auto" w:fill="auto"/>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所在市</w:t>
            </w:r>
          </w:p>
        </w:tc>
        <w:tc>
          <w:tcPr>
            <w:tcW w:w="1237" w:type="dxa"/>
            <w:shd w:val="clear" w:color="auto" w:fill="auto"/>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所在县</w:t>
            </w:r>
          </w:p>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（市、区）</w:t>
            </w:r>
          </w:p>
        </w:tc>
        <w:tc>
          <w:tcPr>
            <w:tcW w:w="1064" w:type="dxa"/>
            <w:shd w:val="clear" w:color="auto" w:fill="FFFFFF"/>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核心区</w:t>
            </w:r>
          </w:p>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（公顷）</w:t>
            </w:r>
          </w:p>
        </w:tc>
        <w:tc>
          <w:tcPr>
            <w:tcW w:w="1198" w:type="dxa"/>
            <w:shd w:val="clear" w:color="auto" w:fill="FFFFFF"/>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实验区（河道类型）</w:t>
            </w:r>
          </w:p>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芡河鳜鱼青虾省级水产种质资源保护区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533</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故黄河砀山段黄河鲤国家级水产种质资源保护区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砀山县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285</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淮河荆涂峡鲤长吻鮠国家级水产种质资源保护区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753</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怀洪新河太湖新银鱼国家级水产种质资源保护区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五河县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淮河蚌埠段四大家鱼长春鳊省级水产种质资源保护区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淮上区、禹会区</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芡河湖大银鱼省级水产种质资源保护区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淮河阜阳段橄榄蛏蚌国家级水产种质资源保护区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阜南县、颍上县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焦岗湖芡实国家级水产种质资源保护区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毛集实验区</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淮河淮南段长吻鮠国家级水产种质资源保护区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凤台县、八公山区、谢家集区、潘集区、田家庵区</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池河翘嘴鲌国家级水产种质资源保护区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城西湖国家级水产种质资源保护区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333.33</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万佛湖国家级水产种质资源保护区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城东湖国家级水产种质资源保护区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500</w:t>
            </w:r>
          </w:p>
        </w:tc>
        <w:tc>
          <w:tcPr>
            <w:tcW w:w="1198" w:type="dxa"/>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长江河宽鳍鱲马口鱼国家级水产种质资源保护区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漫水河蒙古红鲌国家级水产种质资源保护区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367</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城东湖芡实省级水产种质资源保护区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龙窝湖细鳞斜颌鲴国家级水产种质资源保护区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三山区</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徽水河特有鱼类国家级水产种质资源保护区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旌德县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288.2</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青龙湖光倒刺鲃国家级水产种质资源保护区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登源河特有鱼类国家级水产种质资源保护区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绩溪县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217.7</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旌德县平胸龟省级水产种质资源保护区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旌德县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119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白荡湖翘嘴红鮊省级水产种质资源保护区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长江刀鲚国家级水产种质资源保护区（保护区2安庆段）</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迎江区、贵池区、东至县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3811</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秋浦河特有鱼类国家级水产种质资源保护区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808</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黄湓河鰕虎鱼青虾国家级水产种质资源保护区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211</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泊湖秀丽白虾青虾国家级水产种质资源保护区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望江县、太湖县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长江安庆江段长吻鮠大口鲶鳜鱼国家级水产种质资源保护区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大观区、怀宁县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3800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武昌湖中华鳖黄鳝国家级水产种质资源保护区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破罡湖黄颡鱼国家级水产种质资源保护区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333</w:t>
            </w:r>
          </w:p>
        </w:tc>
        <w:tc>
          <w:tcPr>
            <w:tcW w:w="1198" w:type="dxa"/>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长江安庆段四大家鱼国家级水产种质资源保护区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宿松县、望江县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2800</w:t>
            </w:r>
          </w:p>
        </w:tc>
        <w:tc>
          <w:tcPr>
            <w:tcW w:w="119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嬉子湖国家级水产种质资源保护区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1200</w:t>
            </w:r>
          </w:p>
        </w:tc>
        <w:tc>
          <w:tcPr>
            <w:tcW w:w="1198" w:type="dxa"/>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花亭湖黄尾密鲴国家级水产种质资源保护区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800</w:t>
            </w:r>
          </w:p>
        </w:tc>
        <w:tc>
          <w:tcPr>
            <w:tcW w:w="1198" w:type="dxa"/>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黄湖中华绒螯蟹省级水产种质资源保护区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阊江特有鱼类国家级水产种质资源保护区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黄姑河光唇鱼国家级水产种质资源保护区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黟县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702</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36</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新安江歙县段尖头鱥光唇鱼宽鳍鱲国家级水产种质资源保护区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歙县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220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37</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夹溪河瘤拟黑螺放逸短沟蜷省级水产种质资源保护区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休宁县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193.94</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231.53</w:t>
            </w:r>
          </w:p>
        </w:tc>
      </w:tr>
    </w:tbl>
    <w:p>
      <w:pPr>
        <w:rPr>
          <w:rFonts w:ascii="Times New Roman" w:hAnsi="Times New Roman" w:eastAsia="仿宋_GB2312"/>
          <w:snapToGrid w:val="0"/>
          <w:sz w:val="30"/>
          <w:szCs w:val="24"/>
        </w:rPr>
      </w:pPr>
    </w:p>
    <w:p>
      <w:pPr>
        <w:rPr>
          <w:rFonts w:ascii="Times New Roman" w:hAnsi="Times New Roman" w:eastAsia="黑体"/>
          <w:snapToGrid w:val="0"/>
          <w:sz w:val="30"/>
          <w:szCs w:val="24"/>
        </w:rPr>
      </w:pPr>
      <w:r>
        <w:rPr>
          <w:rFonts w:ascii="Times New Roman" w:hAnsi="Times New Roman" w:eastAsia="黑体"/>
          <w:snapToGrid w:val="0"/>
          <w:sz w:val="30"/>
          <w:szCs w:val="24"/>
        </w:rPr>
        <w:t>1－4－1 安徽省内河航道，167条</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116"/>
        <w:gridCol w:w="3740"/>
        <w:gridCol w:w="1092"/>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21"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1116"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航道名称</w:t>
            </w:r>
          </w:p>
        </w:tc>
        <w:tc>
          <w:tcPr>
            <w:tcW w:w="3740"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起讫点</w:t>
            </w:r>
          </w:p>
        </w:tc>
        <w:tc>
          <w:tcPr>
            <w:tcW w:w="109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级别</w:t>
            </w:r>
          </w:p>
        </w:tc>
        <w:tc>
          <w:tcPr>
            <w:tcW w:w="2391"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航道里程（千米）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　江</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叶家湾（皖鄂交界）－方庄（皖苏交界）</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汊　江</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太平府水道、裕溪口水道等汊江</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豫皖省界－正阳关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豫皖省界－正阳关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正阳关－皖苏省界</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沙颍河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沫河口－豫皖省界</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合裕线</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屯溪路桥－当涂路桥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312国道大桥－当涂路桥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合肥港综合码头－312国道大桥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入江口－合肥港综合码头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二级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裕溪口－裕溪闸（老河道）</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芜申运河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青弋江口至丹农</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走马埂排灌站－芮家嘴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定埠段</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裕溪老河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下汊口－巢湖港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塘串兆河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马尾河港－缺口港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店埠河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合裕公路桥－三汊河口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三汊河口－通济桥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石门湖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皖河大桥－石门湖港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入江口－皖河大桥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皖河大桥－巨网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巨网－石牌大桥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姑溪河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珍珠关－芮家嘴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水阳江</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甘家拐－海棠湾</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海棠湾－德喜河口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德喜河口－东溪桥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省界</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浍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入淮河口－固镇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固镇闸－前楼</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前楼－黄沟</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黄沟段桥村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丰乐河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合裕线21号左右通航标－合界高速公路桥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合界高速公路桥－舒城河南码头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舒城河南码头－后湾</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派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合裕线20标－合安公路桥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入江口－童埠</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童埠－青阳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陈官渡－大王闸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陈官渡－大王闸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(江苏省普查，两省界河)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泉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阜阳闸上引航道口－齐湾</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齐湾－周楼</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商阜线铁路桥－蒙城闸下</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蒙城闸下－入淮河口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茨淮新河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入淮河口－阚疃闸下</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阚疃闸下－马胡桥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马湖桥－茨河铺</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高邮湖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皖标1号－外环路桥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外环路桥－汊涧桥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小关－新河口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王成尖－新河口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巢湖湖区</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中庙－派河侧面标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三河口门－施口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巢湖闸－河口村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中庙－白山口门</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马尾河港－河口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马尾河口门－三河口门</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马尾河口门－中庙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合裕线5号标－马尾河口门</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散兵－合裕线9号标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柘皋河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河口公路桥－徐家渡桥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徐家渡桥－柘皋大桥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白口河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河口－岱山港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洲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黄屯河口－庐江南大桥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黄雒镇－黄屯河口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钓鱼河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河口－磨基墩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白胜河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河口－山程村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锥山河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河口－土桥村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高林河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河口－高林港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槐林河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河口－石茨桥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白石天河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白山河口－三汊河口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三汊河口－金牛镇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罗埠河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向拐－老罗埠河口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老罗埠河口－罗埠大桥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夏阁河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河口－夏阁镇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盛桥河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河口－盛桥公路桥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河口－泥河镇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黄屯河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河口－黄屯桥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华阳河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入江口－吉水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吉水－筑墩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筑墩－上风埂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泊湖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挖口－上湖口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上湖口－徐桥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杨湾河入江口－挖口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挖口－长岭铺</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入江口－长河闸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双河口－练潭大桥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长河闸－双河口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石库河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石库－洪镇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花亭湖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大坝－茅坪</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义仓－辛冲</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铜鼓凸－寺前</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罗溪河口－罗溪</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青石河口－温泉</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黄湖湖区</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新洲头－下仓</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吉水－望江桥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望江桥－新开坝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牯牛背水库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大坝－黄铺</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大坝－汪河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大坝－东福</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大官湖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下仓－许岭</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坝头－南庙嘴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竹墩－碎石岭</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幸福河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巨网－塞口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塞口－鸦滩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孔城河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陈埠－孔城</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双河口－陈埠</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钓鱼台</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大坝－钓鱼台</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钓鱼台－北浴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分叉点－朱湾</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分叉点－廖河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双河口－金神</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菜子湖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花山－罗岭</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车富岭－杨树岭</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车富岭－义津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枞阳－官桥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金潭河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刁口－老沟</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龙湖湖区</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竹墩－佐坝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新坝河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大河口－新坝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武昌湖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塞口－郭嘴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塞口－漳湖闸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秋浦河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入江口－殷汇大桥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殷汇大桥－栏山岩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黄湓河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入江口－杨鹅头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杨鹅头－张溪大桥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九华河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入江口－观前大桥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观前大桥－清水潭</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尧渡河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入江口－尧渡大桥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唐田河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沙山嘴－唐田</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坦埠河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沙山嘴－坦埠</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白洋河故道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入江口－五0七坝埂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香口河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入江口－香口闸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七星河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入青通河口－木镇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白洋河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入秋浦河口－上清溪</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清溪河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清溪河——平涧湖</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顺安河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入江口－顺安公路桥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扫把沟</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金隆公司出水口－入江口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罗昌河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入江口－罗河大桥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钱桥河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秃子山－钱桥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白荡湖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后湖嘴－吴家嘴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吴家嘴－杨家市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官冲－方家仓</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吴家嘴－螯山</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王家套－吴家嘴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湖东闸－源子港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九儿潭－横埠</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土桥河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李沟－横山坝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74</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青弋江</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清水－南阳村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南阳村－西河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西河－弋江镇公路桥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弋江镇公路桥－纪村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漳河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鲁港口门－三汊河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三汊河－南陵城关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黄浒河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荻港－三汊河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三汊河－黄浒镇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张拐－三里埂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三汊河－张拐</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上青山河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乌溪－清湾</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荆山河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卜家店－三埠管</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资福河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三汊河－西河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马圆河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小塘坎－红庙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倒逆河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三里埂－南阳村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赤沙河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黄浒镇－赤沙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上潮河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陶米渡－谢家坝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湖湾河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小河口－高桥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袁家埠－包家</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北埂河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小拐－大湾</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方村河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小刘嘴－新屋基</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峨桥镇－繁昌城关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金阁河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朱村－金阁</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凤襄河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凤凰颈－河口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花渡河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下山矶－江西桥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江西桥－节制闸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永安河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卞家拐－横塘桥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郭公河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梁家坝－张三渡</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秦淮河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永乐机站－小九华</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慈湖河口－宁芜铁路桥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纪村新河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纪村河口－薛津闸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丹阳河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釜山－河东</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99</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裕溪后河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铜城闸－凌家渡桥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凌家渡桥－海子口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驷马山干渠</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驻马河口－金银浆</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石杨河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河口－石杨港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先锋河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河口－先锋村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姥下河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河口－节制闸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得胜河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金河口－金河口闸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牛屯河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河口－后港桥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后港桥－铜城闸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清溪河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河口－曹坝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杭埠河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桃圆－六丛渡口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沿岗河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老坝头－临淮岗闸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临淮岗闸－高塘桥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大潜山干渠</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双墩集－两河口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淠淮航道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入淮河口－刘家圩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刘家圩－白洋淀</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白洋淀－九里沟</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东淝河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白洋淀－石埠桥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石埠桥－董铺</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汲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溜孜口－固镇桥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钱大山河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钱大山码头－将军岩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龙河口水库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寺冲－双桂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松渡码头－万佛岛</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万佛岛－燕子岛</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双龙岛－燕子岛</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松渡码头－双龙岛</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梅山水库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青峰岭－上码头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青峰岭－洪冲</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响洪甸水库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鲜花岭－张冲桥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五汊口－油店</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五汊口－高店</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五汊口－响洪甸码头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117</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佛子岭水库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佛子岭坝上－龙井冲码头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分汊口－大河北码头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沣河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沣河口－河口大桥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杭淠干渠</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皋堰－打山渡槽</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洪河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入淮河口－徐郢公路桥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茨河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入河口－原墙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濛河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入淮河口－阜南公路桥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流鞍河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入泉河口－城西闸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小润河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入淮河口－陶坝子闸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涎河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入泉河口－长官</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窑河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新城口－上窑节制闸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127</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西淝河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入淮河口－济河口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入茨淮新河口－王市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淠河口－大店岗桥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大店岗桥－迎河集</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淠东干渠</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戈店－杨西进水闸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杨西干渠</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迎河泄水闸－杨西进水闸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怀洪新河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张嘴渡口－何巷</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石梁河</w:t>
            </w:r>
          </w:p>
        </w:tc>
        <w:tc>
          <w:tcPr>
            <w:tcW w:w="3740" w:type="dxa"/>
            <w:noWrap/>
            <w:vAlign w:val="center"/>
          </w:tcPr>
          <w:p>
            <w:pPr>
              <w:adjustRightInd w:val="0"/>
              <w:snapToGrid w:val="0"/>
              <w:spacing w:line="240" w:lineRule="exact"/>
              <w:rPr>
                <w:rFonts w:ascii="Times New Roman" w:hAnsi="Times New Roman"/>
                <w:snapToGrid w:val="0"/>
                <w:kern w:val="0"/>
                <w:sz w:val="18"/>
                <w:szCs w:val="18"/>
              </w:rPr>
            </w:pP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阜蒙新河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入涡河口－马店</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利阚新河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阚疃－利辛</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秦菱河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皖标4号－王成尖</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采石场－秦栏</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清流河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汊河集闸－五孔桥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红山头－山许闸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陈沟－水口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襄河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三汊河－襄河节制闸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河周库区</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河南码头－周岗码头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铜龙河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皖标4号－铜龙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浔河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浔河口－浔河桥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城河口－城河桥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雷官河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王家窑－雷官</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向阳河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魏延－胥庄</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七岭－秦桥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秦桥－大周排灌站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大周排灌站－四铺闸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新汴河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团结闸－七岭</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肖濉新河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老符离集－闸河口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闸河口－青龙山</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濉河引河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小吴家－老符离集</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沱河引河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北圆－张房</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汪联河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新河庄－马山埠</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152</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南漪湖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马山埠－东湖口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南姥嘴－新沟嘴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南姥嘴－拖船埠</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153</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港口湾</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和尚坞－周塘</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小河口－老桥墩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东风桥－花林畈</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溧梅线</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洪桥坝－梅渚</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上青山河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丁湾－管家渡</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红庙河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拖船埠－红庙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东洋河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由榨沟－杨家嘴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德喜河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德喜河口－济川桥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小菜河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西埂－甘家拐</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浑水河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莫家嘴－上垾埂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郎川河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东湖口－合溪口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毕桥河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新沟嘴－毕桥镇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163</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新朗川河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磨盘山－公路桥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公路桥－管村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钟桥河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东夏－后角河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新安江</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街口－深渡</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深渡－妹滩坝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花山坝－市中心自动翻板坝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太平湖湖区</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陈村坝－乌石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骆驼山－柳家圆</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小河口－沙河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街源河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街口－巨川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5.30</w:t>
            </w:r>
          </w:p>
        </w:tc>
      </w:tr>
    </w:tbl>
    <w:p>
      <w:pPr>
        <w:rPr>
          <w:rFonts w:ascii="Times New Roman" w:hAnsi="Times New Roman" w:eastAsia="仿宋_GB2312"/>
          <w:snapToGrid w:val="0"/>
          <w:sz w:val="30"/>
          <w:szCs w:val="24"/>
        </w:rPr>
      </w:pPr>
    </w:p>
    <w:p>
      <w:pPr>
        <w:rPr>
          <w:rFonts w:ascii="Times New Roman" w:hAnsi="Times New Roman" w:eastAsia="黑体"/>
          <w:snapToGrid w:val="0"/>
          <w:sz w:val="30"/>
          <w:szCs w:val="24"/>
        </w:rPr>
      </w:pPr>
      <w:r>
        <w:rPr>
          <w:rFonts w:ascii="Times New Roman" w:hAnsi="Times New Roman" w:eastAsia="黑体"/>
          <w:snapToGrid w:val="0"/>
          <w:sz w:val="30"/>
          <w:szCs w:val="24"/>
        </w:rPr>
        <w:t>1－4－2 安徽省内河主要港口，16处</w:t>
      </w:r>
    </w:p>
    <w:tbl>
      <w:tblPr>
        <w:tblStyle w:val="3"/>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654"/>
        <w:gridCol w:w="1656"/>
        <w:gridCol w:w="1462"/>
        <w:gridCol w:w="1296"/>
        <w:gridCol w:w="546"/>
        <w:gridCol w:w="1656"/>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3"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港口名称</w:t>
            </w:r>
          </w:p>
        </w:tc>
        <w:tc>
          <w:tcPr>
            <w:tcW w:w="1215" w:type="pct"/>
            <w:gridSpan w:val="2"/>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码头名称</w:t>
            </w:r>
          </w:p>
        </w:tc>
        <w:tc>
          <w:tcPr>
            <w:tcW w:w="769"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港区名称</w:t>
            </w:r>
          </w:p>
        </w:tc>
        <w:tc>
          <w:tcPr>
            <w:tcW w:w="682"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港口名称</w:t>
            </w:r>
          </w:p>
        </w:tc>
        <w:tc>
          <w:tcPr>
            <w:tcW w:w="1158" w:type="pct"/>
            <w:gridSpan w:val="2"/>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码头名称</w:t>
            </w:r>
          </w:p>
        </w:tc>
        <w:tc>
          <w:tcPr>
            <w:tcW w:w="492"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港区</w:t>
            </w:r>
          </w:p>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一、安庆港</w:t>
            </w: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三江货运站码头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宿松港区</w:t>
            </w:r>
          </w:p>
        </w:tc>
        <w:tc>
          <w:tcPr>
            <w:tcW w:w="682" w:type="pct"/>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五、马鞍山港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149</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天顺港码头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华阳港储码头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宏峰码头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朗睿达码头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151</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采石港码头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华阳水上服务区</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152</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龙港码头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安庆电厂综合码头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皖能码头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集装箱码头（17号、18号泊位、五里庙三期泊位）</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马钢自备码头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港埠码头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中心港区快捷物流码头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石化危化品码头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长江港口码头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石化煤码头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157</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海螺码头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仁家墩水上加油站</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万能达码头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安庆港油趸1号、2号基地</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金星码头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油运码头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慈湖综合码头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凤凰作业区工业品码头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油库码头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鑫山码头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当涂港码头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当涂港区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中宜码头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163</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盘景码头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石门湖码头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164</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龙顺公用码头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二、池州港</w:t>
            </w: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香山港埠散货码头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名扬码头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华尔泰码头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166</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含山后河胜武码头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香隅化工园区公用码头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167</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含山大埠码头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东至广信码头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168</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含山顺运码头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琨岗矿业石料码头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散马滩码头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安东顺达码头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170</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唐湾码头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菊江港埠码头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东流港区</w:t>
            </w:r>
          </w:p>
        </w:tc>
        <w:tc>
          <w:tcPr>
            <w:tcW w:w="682" w:type="pct"/>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六、合肥港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大兴集危险品码头（大兴集2#、3#、4#、5#泊位）</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速平码头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大兴集危险品码头（大兴集1#、6#泊位）</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茅屋街码头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合肥国际集装箱码头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明达公司砂厂码头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大渡口港区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肥东东隆码头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海螺码头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肥东东华码头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长九码头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肥东天高码头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恒鑫科技码头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合肥通达码头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皖宝石灰分公司散货码头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肥东中港码头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牛头山公用码头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肥东中国物流码头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贵航物流码头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合肥熔安动力码头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江淮运河港区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贵航金属码头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巢湖新港码头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中国石油安徽销售分公司池州油库码头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巢湖巢润码头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中石化池州石油分公司油库码头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巢湖海螺码头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九华发电煤炭码头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巢湖皖维码头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铜冠九华港航码头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巢湖中粮码头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池州远航码头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巢湖宏鑫码头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丰林木业码头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梅龙港区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巢湖钓鱼水上加油船</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池州港旅游码头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梅龙港区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巢湖东黄码头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江东港埠码头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梅龙港区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巢湖威力码头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青通河港埠码头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青通河童埠港区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巢湖白口河码头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老山码头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青通河童埠港区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包河旅游码头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环湖港区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老山大桥码头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青通河童埠港区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巢湖高林码头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环湖港区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杨家潭码头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青通河童埠港区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巢湖中材码头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环湖港区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童埠码头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青通河童埠港区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巢湖欣达码头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环湖港区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三、铜陵港</w:t>
            </w: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大通港区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巢湖宏光码头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环湖港区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长江外贸码头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庐江大江码头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兆西河港区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海螺码头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庐江港务码头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兆西河港区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4、5、6、7号码头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神皖庐江电厂码头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兆西河港区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轮渡所码头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横港港区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七、阜阳港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口孜码头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滨江码头、鑫港码头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汤沟码头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金城码头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长湖滩及扫把沟港区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阜阳颍州港码头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德盛码头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长湖滩及扫把沟港区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川扬码头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东苑码头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长湖滩及扫把沟港区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阜阳港金泽码头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五洲码头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长湖滩及扫把沟港区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通泰码头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兴港码头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长湖滩及扫把沟港区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运安码头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金园码头：金园港埠分公司3－7号、危化品分公司8－10号、12号</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笠帽山港区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阜阳油库码头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汇成码头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笠帽山港区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淮鑫二号码头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新亚星码头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笠帽山港区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古城龙港码头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安喜码头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汀家洲港区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凤凰码头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汀州码头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汀家洲港区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新远诚码头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友邦码头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汀家洲港区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鑫源码头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国电码头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永丰港区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上峰码头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协诚码头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永丰港区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龙王庙码头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新兴际华码头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永丰港区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太和县水上加油站</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太和港区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枞阳海螺码头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临化码头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老洲头码头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界首市西平商港码头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弘泰码头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八、六安港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临淮码头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前进码头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周集码头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restart"/>
            <w:shd w:val="clear" w:color="auto" w:fill="auto"/>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四、芜湖港</w:t>
            </w: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华谊化工煤炭专用码头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白茆港区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闸口村1#码头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华谊化工液体化工还建码头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白茆港区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陈郢码头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73</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益海嘉里粮油码头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白茆港区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新淮码头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74</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芜湖大盾构基地码头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白茆港区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六安油库专用码头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二坝轮渡江北客运码头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白茆港区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东湖码头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芜湖港裕溪口29号码头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河南码头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芜湖港裕溪口30号码头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万佛湖旅游码头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芜湖港裕溪口31号码头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别山湖旅游码头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芜湖港裕溪口32号煤码头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佛子岭旅游码头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芜湖港裕溪口33号煤码头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横排头旅游码头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皋城港区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芜湖港裕溪口34号煤码头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九、淮南港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何台码头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金山港储公司码头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新淮码头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83</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裕溪口二航四公司出桩码头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新凤码头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荻港港口物流码头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海螺码头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安徽荻港海螺水泥一期码头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鑫淮码头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安徽荻港海螺水泥二期码头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店集码头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建华管桩码头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鹏源码头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春庆码头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荻港芦南新河石灰石厂1号码头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舜龙码头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90</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荻港芦南新河石灰石厂2号码头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兴疃码头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马钢桃冲矿1号码头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中安散货码头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马钢桃冲矿2号码头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茨淮新河码头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93</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马钢桃冲矿3号码头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联利码头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田家庵港区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荻港南方港埠公司2号码头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志君码头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95</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荻港南方港埠公司5号码头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涧沟码头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荻港南方水泥1号码头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十、蚌埠港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徽商五源码头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荻港南方水泥2号码头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蚌埠新港码头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新港富航物流1号码头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国能黄疃窑码头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99</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新港富航物流2号码头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力源码头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新港富航物流3号码头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安澜码头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华电煤炭专用码头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十一、滁州港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全椒安胜码头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中桩物流码头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全椒古河鸿运码头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芜湖海螺水泥专用码头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全椒古河农工商码头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芜湖三山港区东汇码头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全椒襄河鸿运码头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力克油库1号码头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全椒华刚搬运站码头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力克油库2号码头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全椒四通建材码头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三山中外运码头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滁州（汊河）港码头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三山海螺港务成品油码头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来安县忠友码头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三山海螺港务码头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天长经开区码头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中石油芜湖三山油库码头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天长龙须码头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芜湖港口公司13号客运旅游码头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滨江港区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天长天然码头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中储粮芜湖秃矶山直属库码头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滨江港区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天长天海码头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中江海汽车滚装码头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天长祥云码头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芜湖港朱家桥外贸码头（17号码头）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明光润辉码头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芜湖港朱家桥国际集装箱码头（一期）</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安徽鸿远码头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芜湖港朱家桥外贸码头（二期）</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凤阳犇牛码头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117</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芜湖融汇化工专用码头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凤阳鸿鼎码头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118</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芜湖融汇化工散杂货码头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凤阳鸿运码头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芜湖海螺物流码头（扩建）</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凤阳龙阳码头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中石油天合油库码头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凤阳凤玻码头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港顺物流码头（原奇瑞滚装码头）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凤阳通达码头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金江物流码头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凤阳县凤淮防汛码头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123</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四褐山环宇沥青码头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十二、宣城港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海棠湾码头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芜湖发电公司煤码头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水阳江码头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125</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四褐山凯帆装卸公司码头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江南码头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126</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芜湖港港口旅游公司货运码头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宣州综合码头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127</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中长燃芜湖港区加油站码头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磊鑫码头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128</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东梁山信义玻璃码头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汇金物流码头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杰来码头裕溪口杰来公司码头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北山码头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新河庄港区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芜湖鑫海港务1号码头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新河庄一矿码头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新河庄港区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芜湖鑫海港务2号码头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定埠综合码头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定埠港区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132</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无为磊达水泥码头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泾县太平湖码头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泾县港区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133</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无为鸿洋码头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周塘旅游码头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五、马鞍山港</w:t>
            </w: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汇隆再生码头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郑蒲港区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十三、亳州港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郑店子旅游码头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谯城港区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郑蒲港区一期码头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郑蒲港区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花戏楼旅游码头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谯城港区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136</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中洋金顺码头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郑蒲港区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涡阳皖北物流码头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金固港口码头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乌江港区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涡阳鸿运码头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和县石跋河码头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乌江港区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涡阳城东货运码头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当涂电厂码头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涡阳陈大货运码头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太平府综合码头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蒙城常兴第一码头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蒙城常兴货运码头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力通码头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蒙城双涧码头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中天码头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蒙城常兴水上加油站码头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强荣码头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十四、淮北港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省港投南坪码头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南坪港区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145</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长江物流码头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十五、宿州港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泗县冠丰码头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泗县港区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146</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华庆趸船码头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十六、黄山港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太平湖共幸码头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黄山区太平湖港区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山鹰码头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屯溪旅游码头、世纪广场码头、花山旅游码头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屯溪区屯溪港区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小1#码头、1#码头、2#码头、3－2#码头、小3#码头、4#码头、6#码头、7#码头、8#码头、9#码头、人头矶微粉码头、人头矶码头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深渡旅游客运码头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歙县深渡港区</w:t>
            </w:r>
          </w:p>
        </w:tc>
      </w:tr>
    </w:tbl>
    <w:p>
      <w:pPr>
        <w:adjustRightInd w:val="0"/>
        <w:snapToGrid w:val="0"/>
        <w:spacing w:line="600" w:lineRule="exact"/>
        <w:ind w:firstLine="200"/>
        <w:rPr>
          <w:rFonts w:ascii="Times New Roman" w:hAnsi="Times New Roman" w:eastAsia="黑体"/>
          <w:snapToGrid w:val="0"/>
          <w:kern w:val="0"/>
          <w:sz w:val="32"/>
          <w:szCs w:val="32"/>
        </w:rPr>
      </w:pPr>
    </w:p>
    <w:p>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1－4－3重要行洪区、河道堤防</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长江、淮河安徽段及全省其他开放性河流河道行洪区、堤防安全区。</w:t>
      </w:r>
    </w:p>
    <w:p>
      <w:pPr>
        <w:adjustRightInd w:val="0"/>
        <w:snapToGrid w:val="0"/>
        <w:spacing w:line="600" w:lineRule="exact"/>
        <w:ind w:firstLine="640" w:firstLineChars="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spacing w:line="600" w:lineRule="exact"/>
        <w:outlineLvl w:val="0"/>
        <w:rPr>
          <w:rFonts w:ascii="Times New Roman" w:hAnsi="Times New Roman" w:eastAsia="仿宋_GB2312"/>
          <w:snapToGrid w:val="0"/>
          <w:sz w:val="30"/>
          <w:szCs w:val="24"/>
        </w:rPr>
      </w:pPr>
      <w:bookmarkStart w:id="148" w:name="_Toc185336503"/>
      <w:bookmarkStart w:id="149" w:name="_Toc130907283"/>
    </w:p>
    <w:p>
      <w:pPr>
        <w:spacing w:line="600" w:lineRule="exact"/>
        <w:outlineLvl w:val="0"/>
        <w:rPr>
          <w:rFonts w:ascii="Times New Roman" w:hAnsi="Times New Roman" w:eastAsia="黑体"/>
          <w:snapToGrid w:val="0"/>
          <w:sz w:val="32"/>
          <w:szCs w:val="32"/>
        </w:rPr>
      </w:pPr>
      <w:r>
        <w:rPr>
          <w:rFonts w:ascii="Times New Roman" w:hAnsi="Times New Roman" w:eastAsia="黑体"/>
          <w:snapToGrid w:val="0"/>
          <w:sz w:val="32"/>
          <w:szCs w:val="32"/>
        </w:rPr>
        <w:t>附件3</w:t>
      </w:r>
    </w:p>
    <w:p>
      <w:pPr>
        <w:adjustRightInd w:val="0"/>
        <w:snapToGrid w:val="0"/>
        <w:spacing w:line="600" w:lineRule="exact"/>
        <w:jc w:val="center"/>
        <w:outlineLvl w:val="0"/>
        <w:rPr>
          <w:rFonts w:ascii="Times New Roman" w:hAnsi="Times New Roman" w:eastAsia="方正小标宋简体"/>
          <w:snapToGrid w:val="0"/>
          <w:kern w:val="0"/>
          <w:sz w:val="44"/>
          <w:szCs w:val="44"/>
        </w:rPr>
      </w:pPr>
    </w:p>
    <w:p>
      <w:pPr>
        <w:adjustRightInd w:val="0"/>
        <w:snapToGrid w:val="0"/>
        <w:spacing w:line="600" w:lineRule="exact"/>
        <w:jc w:val="center"/>
        <w:outlineLvl w:val="0"/>
        <w:rPr>
          <w:rFonts w:ascii="Times New Roman" w:hAnsi="Times New Roman" w:eastAsia="方正小标宋简体"/>
          <w:snapToGrid w:val="0"/>
          <w:kern w:val="0"/>
          <w:sz w:val="44"/>
          <w:szCs w:val="44"/>
        </w:rPr>
      </w:pPr>
      <w:r>
        <w:rPr>
          <w:rFonts w:ascii="Times New Roman" w:hAnsi="Times New Roman" w:eastAsia="方正小标宋简体"/>
          <w:snapToGrid w:val="0"/>
          <w:kern w:val="0"/>
          <w:sz w:val="44"/>
          <w:szCs w:val="44"/>
        </w:rPr>
        <w:t>安徽省养殖水域滩涂限制养殖区名录</w:t>
      </w:r>
      <w:bookmarkEnd w:id="148"/>
      <w:bookmarkEnd w:id="149"/>
    </w:p>
    <w:p>
      <w:pPr>
        <w:adjustRightInd w:val="0"/>
        <w:snapToGrid w:val="0"/>
        <w:spacing w:line="600" w:lineRule="exact"/>
        <w:ind w:firstLine="200"/>
        <w:outlineLvl w:val="0"/>
        <w:rPr>
          <w:rFonts w:ascii="Times New Roman" w:hAnsi="Times New Roman" w:eastAsia="方正小标宋简体"/>
          <w:snapToGrid w:val="0"/>
          <w:kern w:val="0"/>
          <w:sz w:val="32"/>
          <w:szCs w:val="32"/>
        </w:rPr>
      </w:pPr>
    </w:p>
    <w:p>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2－1饮用水水源地二级保护区（其中已列入禁养区相关类型的水域滩涂，按禁养区管理）</w:t>
      </w:r>
    </w:p>
    <w:tbl>
      <w:tblPr>
        <w:tblStyle w:val="3"/>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312"/>
        <w:gridCol w:w="2813"/>
        <w:gridCol w:w="823"/>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74"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331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保护区名称</w:t>
            </w:r>
          </w:p>
        </w:tc>
        <w:tc>
          <w:tcPr>
            <w:tcW w:w="281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水源地名称</w:t>
            </w:r>
          </w:p>
        </w:tc>
        <w:tc>
          <w:tcPr>
            <w:tcW w:w="82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所在市</w:t>
            </w:r>
          </w:p>
        </w:tc>
        <w:tc>
          <w:tcPr>
            <w:tcW w:w="1237"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限养区位置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合肥市巢湖市三水厂水源地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巢湖市三水厂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合肥市肥东县众兴水库水源地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众兴水库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合肥市庐江县果园山水库水源地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果园山水库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合肥市董铺水库水源地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董铺水库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合肥市大房郢水库水源地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大房郢水库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合肥市巢湖市下汤水库备用水源保护区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巢湖市下汤水库备用水源保护区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合肥市肥东县滁河干渠备用水源保护区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肥东县滁河干渠备用水源保护区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合肥市庐江县城备用水源保护区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庐江县城备用水源保护区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合肥市长丰县瓦埠湖饮用水水源保护区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长丰县瓦埠湖饮用水水源保护区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淮北市濉溪县水厂水源地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濉溪县水厂水源地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亳州市一水厂水源地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亳州市一水厂水源地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亳州市蒙城县梁土山备用水源地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蒙城县梁土山备用水源地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亳州市蒙城县三水厂水源地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蒙城县第三自来水厂茨淮新河水源地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亳州市调蓄水库饮用水水源保护区_西淝河片区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亳州市调蓄水库饮用水水源保护区_调蓄水库片区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亳州市利辛县城地表水厂饮用水水源保护区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利辛县城地表水厂饮用水水源保护区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宿州市泗县城市地表水厂水源地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泗县城市地表水厂水源地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宿州市泗县自来水厂水源地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泗县自来水厂水源地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宿州市第四水厂饮用水水源保护区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四水厂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蚌埠市五河县一水厂水源地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五河县一水厂水源地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蚌埠市固镇县城市自来水厂、固镇经济开发区自来水厂水源地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固镇县经济开发区自来水厂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蚌埠市固镇县水厂水源地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固镇县水厂水源地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蚌埠市固镇县水厂水源地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固镇县水厂水源地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蚌埠市五河县城南地表水厂水源地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五河县城南地表水厂水源地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蚌埠市怀远县一水厂水源地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怀远县一水厂水源地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蚌埠市怀远县新城区自来水厂水源地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怀远县新城区自来水厂水源地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蚌埠市怀远县三水厂水源地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怀远县三水厂水源地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蚌埠市怀远县城西水厂水源地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怀远县城西水厂水源地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蚌埠市天河备用水源地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天河饮用水水源地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蚌埠市淮河蚌埠闸上饮用水水源保护区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淮河蚌埠闸上饮用水水源保护区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阜阳市二水厂茨淮新河水源地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茨淮新河</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阜阳市二水厂地下水备用水源地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二水厂地下水备用水源地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阜阳市加压站水源地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阜阳市加压站水源地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阜阳市三水厂水源地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阜阳市三水厂水源地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阜阳市阜南县城南地表水厂饮用水水源保护区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阜南县城南地表水厂饮用水水源保护区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阜阳市颍上县城地表水厂饮用水水源保护区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颍上县城地表水厂饮用水水源保护区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淮南市凤台县水厂水源地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凤台县水厂饮用水水源地保护区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淮南市毛集实验区水厂水源地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毛集试验区水厂饮用水水源地保护区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淮南市东部城区水厂水源地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东部城区水厂饮用水水源地保护区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淮南市寿县二水厂水源地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寿县二水厂饮用水水源地保护区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淮南市平山头水厂水源地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平山头水厂饮用水水源地保护区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淮南市袁庄水厂水源地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袁庄水厂饮用水水源地保护区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淮南市凤台县地下水水源地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凤台县地下水水源地2号井</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淮南市寿县安丰塘备用水源保护区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寿县安丰塘备用水源保护区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滁州市全椒县赵店水库水源地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赵店水库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滁州市天长市釜山水库水源地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釜山水库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滁州市明光市石坝水库水源地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石坝水库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滁州市来安县陈郢水库水源地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陈郢水库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滁州市全椒县黄栗树水库水源地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黄栗树水库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滁州市天长市高邮湖水源地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高邮湖二级保护区水域</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滁州市沙河集水库水源地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沙河集水源保护区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滁州市天长市地下水水源地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天长市地下水水源地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滁州市来安县屯仓水库水源地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来安县屯仓水库水源地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滁州市凤阳县凤阳山水库水源保护区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凤阳山水库水源二级保护区陆域</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滁州市凤阳县县城备用水源保护区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凤阳县城备用水源地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滁州市定远县城北水库和解放水库饮用水水源保护区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定远县城北水库和解放水库饮用水水源保护区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滁州市定远县蔡桥水库饮用水水源保护区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定远县蔡桥水库饮用水水源保护区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滁州市西涧湖饮用水水源保护区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西涧湖水源保护区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滁州市明光市南沙河饮用水水源保护区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南沙河</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滁州市来安县平阳水库饮用水水源保护区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来安县平阳水库饮用水水源保护区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六安市一水厂、二水厂、东城水厂、新城水厂</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淠河总干渠</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六安市霍邱县城东湖水源地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霍邱县二水厂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六安市金寨县梅山水库水源地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梅山水库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六安市霍山县前进水库水源地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霍山县前进水库水源地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六安市霍山佛子岭水库水源地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霍山佛子岭水库水源地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六安市大公堰备用水源地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六安市大公堰备用水源地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六安市霍邱县城备用水源保护区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霍邱县二水厂备用水源保护区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六安市金寨县城备用水源保护区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金寨县城备用水源保护区二级水域</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六安市舒城县备用水源地保护区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舒城县备用水源地保护区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六安市舒城县第二自来水厂饮用水水源保护区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舒城县第二自来水厂饮用水水源保护区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马鞍山市采石水厂水源地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采石水厂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马鞍山市当涂县二水厂水源地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当涂县二水厂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马鞍山市含山县长山水库备用饮用水水源保护区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长山水库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马鞍山市含山县二水厂、和县和州自来水厂水源地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和县含山长江水源保护区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马鞍山市和县集中式饮用水备用水源保护区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和县集中式饮用水备用水源保护区二级水域</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芜湖市无为县自来水有限责任公司（长江）水源地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无为县自来水厂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芜湖市南陵县二水厂水源地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南陵县二水厂水源地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芜湖市漳河水源地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芜湖市漳河水源地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芜湖市无为县西河水源地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无为县西河水源地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芜湖市芜湖县自来水厂水源地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芜湖县自来水厂二级水域保护区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芜湖市二水厂饮用水水源保护区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芜湖市四水厂饮用水水源保护区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四水厂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芜湖市三山水厂、繁昌芦南水厂饮用水水源保护区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芜湖市三山水厂、繁昌芦南水厂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芜湖市无为市高沟饮用水水源保护区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无为市高沟饮用水水源保护区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宣城市广德市卢村水库水源地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卢村水库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宣城市绩溪县扬之河水源地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扬之河</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宣城市绩溪县翚溪水库水源地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翚溪水库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宣城市旌德县白沙水库水源地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白沙水库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宣城市郎溪县龙须湖水源地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龙须湖水库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宣城市宁国市港口湾水库水源地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港口湾水库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宣城市大豪水厂水源地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大豪水厂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宣城市水阳江玉山水源地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水阳江玉山</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宣城市广德市粮长门水库备用水源保护区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广德粮长门水库备用水源保护区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宣城市宁国市畈村水库备用水源保护区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宁国市畈村水库备用水源保护区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宣城市泾县县城备用水源保护区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泾县县城备用水源保护区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宣城市旌德县城备用水源保护区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宣城市旌德县城备用水源保护区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宣城市郎溪县城备用水源保护区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宣城市郎溪县城备用水源保护区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宣城市泾县县城（百园新村）饮用水水源保护区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泾县县城在用（百园新村）二级水域</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铜陵市枞阳县菜子湖水源地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枞阳县城备用水源地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铜陵市枞阳县自来水有限公司水源地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枞阳县自来水有限公司水源地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铜陵市南湖备用水源保护区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铜陵市南湖备用水源保护区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铜陵市五水厂饮用水源保护区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铜陵市五水厂饮用水源保护区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铜陵市一二三水厂饮用水源保护区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铜陵市一二三水厂饮用水源保护区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池州市石台县二水厂水源地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石台县二水厂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池州市东至县尧渡河水源地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东至县备用水厂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池州市东至县龙江水厂水源地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龙江水厂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池州市江口水厂水源地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江口水厂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池州市青阳县牛桥水库水源地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青阳县牛桥水库饮用水水源二级保护区水域</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池州市石台县古潭水库水源地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石台县古潭水库水源地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池州市青阳县石湖水库水源地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青阳县石湖水库备用水源地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池州市平天湖水源地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池州市平天湖水源地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池州市民生水厂水源地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池州市民生水厂水源地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安庆市一水厂水源地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安庆市宿松县钓鱼台水库水源地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宿松县钓鱼台水库水源地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安庆市桐城市牯牛背水库水源地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桐城牯牛背水库取水口1，2级线</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安庆市宿松县二水厂水源地（与一水厂共用取水口）</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宿松县第二自来水厂取水口(二郎河县大河段)</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安庆市岳西县鹭鸶河水源地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鹭鸶河(相公庙)</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安庆市桐城市境主庙水库水源地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桐城市境主庙水库水源地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安庆市石塘湖水源地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安庆市石塘湖应急备用水源地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安庆市太湖县汪洋水库水源地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太湖县汪洋水库备用水源地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安庆市望江县第二自来水公司水源地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望江县第二自来水有限公司</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安庆市望江县岚杆湖水源地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岚杆湖水源地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安庆市潜山市潜水水厂水源地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潜山市潜水水厂水源地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安庆市岳西县王河水库备用水源保护区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岳西县王河水库备用饮用水水源地保护区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安庆市太湖县县城饮用水水源保护区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太湖县县城饮用水水源保护区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安庆市怀宁县观音洞水库备用水源保护区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怀宁县观音洞水库备用水源保护区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黄山市屯溪区一水厂水源地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屯溪一水厂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黄山市黟县漳河水源地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黟县水厂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黄山市黟县二水厂（东亭河）水源地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奇墅湖</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黄山市祁门县阊江水源地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祁门水厂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黄山市黄山市月潭水库水源地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黄山市月潭水库水源地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黄山市歙县丰乐水库水源地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歙县丰乐水库水源地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黄山市歙县新安江渐江段备用水源地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歙县新安江渐江段备用水源地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黄山市祁门县西坞里水库水源地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祁门县西坞里水库水源地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黄山市黄山区二水厂饮用水水源保护区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黄山区二水厂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黄山市休宁县一水厂饮用水水源保护区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休宁县一水厂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黄山市屯溪区二水厂饮用水水源保护区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屯溪二水厂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黄山市徽州区一水厂饮用水水源保护区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徽州区一水厂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黄山市休宁县二水厂饮用水水源保护区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休宁二水厂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黄山市黄山区一水厂饮用水水源保护区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黄山区一水厂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bl>
    <w:p>
      <w:pPr>
        <w:rPr>
          <w:rFonts w:ascii="Times New Roman" w:hAnsi="Times New Roman" w:eastAsia="仿宋_GB2312"/>
          <w:snapToGrid w:val="0"/>
          <w:sz w:val="30"/>
          <w:szCs w:val="24"/>
        </w:rPr>
      </w:pPr>
    </w:p>
    <w:p>
      <w:pPr>
        <w:ind w:firstLine="600" w:firstLineChars="200"/>
        <w:rPr>
          <w:rFonts w:ascii="Times New Roman" w:hAnsi="Times New Roman" w:eastAsia="黑体"/>
          <w:snapToGrid w:val="0"/>
          <w:sz w:val="30"/>
          <w:szCs w:val="24"/>
        </w:rPr>
      </w:pPr>
      <w:r>
        <w:rPr>
          <w:rFonts w:ascii="Times New Roman" w:hAnsi="Times New Roman" w:eastAsia="黑体"/>
          <w:snapToGrid w:val="0"/>
          <w:sz w:val="30"/>
          <w:szCs w:val="24"/>
        </w:rPr>
        <w:t>2－2－1自然保护区一般控制区，41处</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3256"/>
        <w:gridCol w:w="1821"/>
        <w:gridCol w:w="1642"/>
        <w:gridCol w:w="97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3256"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名称</w:t>
            </w:r>
          </w:p>
        </w:tc>
        <w:tc>
          <w:tcPr>
            <w:tcW w:w="1821"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市别</w:t>
            </w:r>
          </w:p>
        </w:tc>
        <w:tc>
          <w:tcPr>
            <w:tcW w:w="164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县（市区）</w:t>
            </w:r>
          </w:p>
        </w:tc>
        <w:tc>
          <w:tcPr>
            <w:tcW w:w="975"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级别</w:t>
            </w:r>
          </w:p>
        </w:tc>
        <w:tc>
          <w:tcPr>
            <w:tcW w:w="93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限养区位置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安徽牯牛降国家级自然保护区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池州市、黄山市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石台县、祁门县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安徽清凉峰国家级自然保护区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黄山市、宣城市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歙县、绩溪县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安徽扬子鳄国家级自然保护区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宣城市、芜湖市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宣州区、郎溪县、广德市、泾县、南陵县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安徽天马国家级自然保护区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安徽升金湖国家级自然保护区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东至县、贵池区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安徽岳西枯井园省级自然保护区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安徽鹞落坪国家级自然保护区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安徽铜陵淡水豚国家级自然保护区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铜陵市、芜湖市、池州市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枞阳县、郊区、义安区、无为市、贵池区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安徽萧县皇藏峪省级自然保护区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安徽宿州大方寺省级自然保护区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萧县、埇桥区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安徽泗县沱河省自然保护区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泗县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安徽萧县黄河故道省自然保护区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安徽砀山黄河故道自然保护区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砀山</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安徽砀山酥梨种质资源省级自然保护区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砀山县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安徽五河沱湖省级自然保护区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五河县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安徽颍上八里河省级自然保护区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安徽颍州西湖省级自然保护区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颍州区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安徽滁州皇甫山省级自然保护区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定远县、南谯区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安徽明光女山湖省级自然保护区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安徽霍山佛子岭省级自然保护区</w:t>
            </w:r>
          </w:p>
        </w:tc>
        <w:tc>
          <w:tcPr>
            <w:tcW w:w="182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安徽霍邱东西湖省级自然保护区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安徽金寨西河大鲵省级自然保护区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安徽当涂石臼湖省级自然保护区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当涂县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安徽贵池老山省级自然保护区</w:t>
            </w:r>
          </w:p>
        </w:tc>
        <w:tc>
          <w:tcPr>
            <w:tcW w:w="182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安徽青阳盘台省级自然保护区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青阳县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安徽贵池十八索省级自然保护区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安徽宁国板桥省级自然保护区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安徽广德泰山省级自然保护区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安徽安庆江豚省级自然保护区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安庆市、池州市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大观区、怀宁县、宿松县、太湖县、望江县、迎江区、桐城市、东至县、贵池区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安徽安庆沿江湿地省级自然保护区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安庆市、铜陵市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宿松县、太湖县、望江县、枞阳县、桐城市、宜秀区枞阳县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安徽宿松华阳河湖群省级自然保护区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安徽潜山板仓省级自然保护区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安徽舒城万佛山省级自然保护区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安徽休宁岭南省级自然保护区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安徽黄山区十里山省级自然保护区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安徽黟县五溪山省级自然保护区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黟县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安徽省徽州天湖省级自然保护区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徽州区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安徽黄山区九龙峰省级自然保护区</w:t>
            </w:r>
          </w:p>
        </w:tc>
        <w:tc>
          <w:tcPr>
            <w:tcW w:w="182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安徽祁门查湾省级自然保护区</w:t>
            </w:r>
          </w:p>
        </w:tc>
        <w:tc>
          <w:tcPr>
            <w:tcW w:w="182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安徽休宁六股尖省级自然保护区</w:t>
            </w:r>
          </w:p>
        </w:tc>
        <w:tc>
          <w:tcPr>
            <w:tcW w:w="182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安徽黄山大鲵自然保护区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休宁县、祁门县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bl>
    <w:p>
      <w:pPr>
        <w:rPr>
          <w:rFonts w:ascii="Times New Roman" w:hAnsi="Times New Roman" w:eastAsia="仿宋_GB2312"/>
          <w:snapToGrid w:val="0"/>
          <w:sz w:val="30"/>
          <w:szCs w:val="24"/>
        </w:rPr>
      </w:pPr>
    </w:p>
    <w:p>
      <w:pPr>
        <w:ind w:firstLine="600" w:firstLineChars="200"/>
        <w:rPr>
          <w:rFonts w:ascii="Times New Roman" w:hAnsi="Times New Roman" w:eastAsia="黑体"/>
          <w:snapToGrid w:val="0"/>
          <w:sz w:val="30"/>
          <w:szCs w:val="24"/>
        </w:rPr>
      </w:pPr>
      <w:r>
        <w:rPr>
          <w:rFonts w:ascii="Times New Roman" w:hAnsi="Times New Roman" w:eastAsia="黑体"/>
          <w:snapToGrid w:val="0"/>
          <w:sz w:val="30"/>
          <w:szCs w:val="24"/>
        </w:rPr>
        <w:t>2－2－2湿地公园、风景名胜区、森林公园、地质公园等生态功能区，192处</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863"/>
        <w:gridCol w:w="1493"/>
        <w:gridCol w:w="1087"/>
        <w:gridCol w:w="105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9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286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生态功能区名称</w:t>
            </w:r>
          </w:p>
        </w:tc>
        <w:tc>
          <w:tcPr>
            <w:tcW w:w="149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类型</w:t>
            </w:r>
          </w:p>
        </w:tc>
        <w:tc>
          <w:tcPr>
            <w:tcW w:w="1087"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级别</w:t>
            </w:r>
          </w:p>
        </w:tc>
        <w:tc>
          <w:tcPr>
            <w:tcW w:w="1059"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所在市</w:t>
            </w:r>
          </w:p>
        </w:tc>
        <w:tc>
          <w:tcPr>
            <w:tcW w:w="186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肥西三河国家湿地公园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庐阳董铺国家湿地公园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肥东管湾国家湿地公园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巢湖半岛国家湿地公园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合肥巢湖湖滨国家湿地公园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包河区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淮北中湖国家湿地公园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道源国家湿地公园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利辛西淝河国家湿地公园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利辛县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蒙城北淝河国家湿地公园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泗县石龙湖国家湿地公园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迪沟国家湿地公园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太和沙颍河国家湿地公园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颍州西湖国家湿地公园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界首两湾国家湿地公园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阜南王家坝国家湿地公园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颍泉泉水湾国家湿地公园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淮南焦岗湖国家湿地公园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毛集实验区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来安池杉湖国家湿地公园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淠河国家湿地公园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平天湖国家湿地公园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秋浦河源国家湿地公园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太湖花亭湖国家湿地公园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安庆菜子湖国家湿地公园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桐城嬉子湖国家湿地公园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潜山潜水河国家湿地公园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怀宁观音湖国家湿地公园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休宁横江国家湿地公园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肥东龙栖地省级湿地公园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巢湖柘皋河省级湿地公园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巢湖槐林省级湿地公园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濉溪凤栖湖省级湿地公园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利辛阚泽省级湿地公园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利辛县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宿州仙湖省级湿地公园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怀远滨淮省级湿地公园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颍东区东湖省级湿地公园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界首莲浦湖省级湿地公园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临泉泉鞍洲省级湿地公园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太和茨河湾省级湿地公园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阜南谷河省级湿地公园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临泉鹭鸟洲省级湿地公园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凤台凤凰湖省级湿地公园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潘集区泥河省级湿地公园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含山大渔滩省级湿地公园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南陵奎湖省级湿地公园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芜湖东草湖省级湿地公园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宣城宛陵湖省级湿地公园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广德桐汭省级湿地公园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宁国西津河省级湿地公园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宣城官塘湖省级湿地公园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贵池杏花村省级湿地公园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宿松钓鱼台省级湿地公园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屯溪三江省级湿地公园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琅琊山风景名胜区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采石风景名胜区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太极洞风景名胜区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龙川风景名胜区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绩溪县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九华山风景名胜区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齐山－太平湖风景名胜区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天柱山风景名胜区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花亭湖风景名胜区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齐云山风景名胜区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花山谜窟风景名胜区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屯溪区、歙县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紫蓬山风景名胜区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汤池风景名胜区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合肥环城公园－西郊风景名胜区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五柳风景名胜区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皇藏峪风景名胜区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涂山－白乳泉风景名胜区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怀远县、禹会区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龙子湖风景名胜区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颍州西湖风景名胜区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八公山风景名胜区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八公山区、谢家集区、凤台县、寿县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南岳山－佛子岭水库风景名胜区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铜锣寨风景名胜区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天堂寨风景名胜区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大华山风景名胜区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万佛山－龙河口水库（万佛湖）风景名胜区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龙须湖风景名胜区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青龙湾风景名胜区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敬亭山风景名胜区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浮山风景名胜区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凤凰山风景名胜区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义安区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大历山风景名胜区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秋浦仙境风景名胜区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石台溶洞群风景名胜区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大龙山风景名胜区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白崖寨风景名胜区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小孤山风景名胜区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司空山风景名胜区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紫蓬山国家森林公园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冶父山国家森林公园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大蜀山国家森林公园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滨湖国家森林公园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包河区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相山国家森林公园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相山区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皇藏峪国家森林公园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舜耕山国家森林公园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田家庵区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八公山国家森林公园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八公山区、寿县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上窑国家森林公园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琅琊山国家森林公园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琅琊区、南谯区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皇甫山国家森林公园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神山国家森林公园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韭山国家森林公园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老嘉山国家森林公园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天堂寨国家森林公园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万佛山国家森林公园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鸡笼山国家森林公园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天井山国家森林公园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马仁山国家森林公园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繁昌区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敬亭山国家森林公园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青龙湾国家森林公园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水西国家森林公园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马家溪国家森林公园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旌德县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浮山国家森林公园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九华山国家森林公园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天柱山国家森林公园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大龙山国家森林公园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妙道山国家森林公园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石莲洞国家森林公园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徽州国家森林公园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齐云山国家森林公园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塔川国家森林公园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东庵省级森林公园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庐州省级森林公园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浮槎山省级森林公园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半岛省级森林公园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百花寨省级森林公园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官亭省级森林公园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九紫省级森林公园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古黄河省级森林公园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大巩山省级森林公园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茅仙洞省级森林公园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卧龙山省级森林公园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白鹭岛省级森林公园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南屏山省级森林公园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龙窝寺省级森林公园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红琊山省级森林公园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燕山省级森林公园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南岳山省级森林公园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安阳山省级森林公园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龙井沟省级森林公园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仙女寨省级森林公园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太白省级森林公园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当涂县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小格里省级森林公园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丫山省级森林公园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高井庙省级森林公园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笄山省级森林公园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茅田山省级森林公园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阳岱山省级森林公园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夏渡省级森林公园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鄣山省级森林公园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绩溪县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翚溪省级森林公园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绩溪县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峄山省级森林公园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铜都省级森林公园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铜官区、义安区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天台山省级森林公园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目连山省级森林公园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杉山省级森林公园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九华天池省级森林公园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金紫山省级森林公园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龙眠山省级森林公园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黄尾省级森林公园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九井溪省级森林公园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巨石山省级森林公园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五溪山省级森林公园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燕山省级森林公园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樵山省级森林公园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鸳鸯湖省级森林公园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安徽灵璧磬云山国家地质公园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灵璧县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安徽淮南八公山国家地质公园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凤台县、寿县、八公山区、谢家集区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安徽凤阳山国家地质公园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安徽大别山（六安）国家地质公园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霍山县、金寨县、舒城县、金安区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安徽南陵丫山国家地质公园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安徽繁昌马仁山国家地质公园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繁昌县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安徽广德太极洞国家地质公园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安徽浮山国家地质公园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安徽池州九华山世界地质公园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青阳县、石台县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石台溶洞群国家级地质公园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安徽天柱山世界地质公园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安徽黄山世界地质公园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黄山区、徽州区、歙县、黟县、休宁县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安徽齐云山国家地质公园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安徽祁门牯牛降国家地质公园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明光女山省级地质公园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安徽省含山褒禅山省级地质公园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bl>
    <w:p>
      <w:pPr>
        <w:rPr>
          <w:rFonts w:ascii="Times New Roman" w:hAnsi="Times New Roman" w:eastAsia="仿宋_GB2312"/>
          <w:snapToGrid w:val="0"/>
          <w:sz w:val="30"/>
          <w:szCs w:val="24"/>
        </w:rPr>
      </w:pPr>
    </w:p>
    <w:p>
      <w:pPr>
        <w:ind w:firstLine="600" w:firstLineChars="200"/>
        <w:rPr>
          <w:rFonts w:ascii="Times New Roman" w:hAnsi="Times New Roman" w:eastAsia="黑体"/>
          <w:snapToGrid w:val="0"/>
          <w:sz w:val="30"/>
          <w:szCs w:val="24"/>
        </w:rPr>
      </w:pPr>
      <w:r>
        <w:rPr>
          <w:rFonts w:ascii="Times New Roman" w:hAnsi="Times New Roman" w:eastAsia="黑体"/>
          <w:snapToGrid w:val="0"/>
          <w:sz w:val="30"/>
          <w:szCs w:val="24"/>
        </w:rPr>
        <w:t>2－3水产种质资源保护区实验区，15处</w:t>
      </w:r>
    </w:p>
    <w:tbl>
      <w:tblPr>
        <w:tblStyle w:val="3"/>
        <w:tblW w:w="51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3477"/>
        <w:gridCol w:w="888"/>
        <w:gridCol w:w="841"/>
        <w:gridCol w:w="188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23" w:type="dxa"/>
            <w:shd w:val="clear" w:color="auto" w:fill="auto"/>
            <w:vAlign w:val="center"/>
          </w:tcPr>
          <w:p>
            <w:pPr>
              <w:adjustRightInd w:val="0"/>
              <w:snapToGrid w:val="0"/>
              <w:spacing w:line="30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3477" w:type="dxa"/>
            <w:shd w:val="clear" w:color="auto" w:fill="auto"/>
            <w:vAlign w:val="center"/>
          </w:tcPr>
          <w:p>
            <w:pPr>
              <w:adjustRightInd w:val="0"/>
              <w:snapToGrid w:val="0"/>
              <w:spacing w:line="30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水产种质资源保护区名称</w:t>
            </w:r>
          </w:p>
        </w:tc>
        <w:tc>
          <w:tcPr>
            <w:tcW w:w="888" w:type="dxa"/>
            <w:shd w:val="clear" w:color="auto" w:fill="auto"/>
            <w:vAlign w:val="center"/>
          </w:tcPr>
          <w:p>
            <w:pPr>
              <w:adjustRightInd w:val="0"/>
              <w:snapToGrid w:val="0"/>
              <w:spacing w:line="30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级别</w:t>
            </w:r>
          </w:p>
        </w:tc>
        <w:tc>
          <w:tcPr>
            <w:tcW w:w="841" w:type="dxa"/>
            <w:shd w:val="clear" w:color="auto" w:fill="auto"/>
            <w:noWrap/>
            <w:vAlign w:val="center"/>
          </w:tcPr>
          <w:p>
            <w:pPr>
              <w:adjustRightInd w:val="0"/>
              <w:snapToGrid w:val="0"/>
              <w:spacing w:line="30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rPr>
              <w:t>所在市</w:t>
            </w:r>
          </w:p>
        </w:tc>
        <w:tc>
          <w:tcPr>
            <w:tcW w:w="1885" w:type="dxa"/>
            <w:shd w:val="clear" w:color="auto" w:fill="auto"/>
            <w:noWrap/>
            <w:vAlign w:val="center"/>
          </w:tcPr>
          <w:p>
            <w:pPr>
              <w:adjustRightInd w:val="0"/>
              <w:snapToGrid w:val="0"/>
              <w:spacing w:line="30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所在县（市、区）</w:t>
            </w:r>
          </w:p>
        </w:tc>
        <w:tc>
          <w:tcPr>
            <w:tcW w:w="1733" w:type="dxa"/>
            <w:shd w:val="clear" w:color="auto" w:fill="FFFFFF"/>
            <w:vAlign w:val="center"/>
          </w:tcPr>
          <w:p>
            <w:pPr>
              <w:adjustRightInd w:val="0"/>
              <w:snapToGrid w:val="0"/>
              <w:spacing w:line="30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限制养殖区（非河道类型实验区）面积（公顷）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焦岗湖芡实国家级水产种质资源保护区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毛集实验区</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城西湖国家级水产种质资源保护区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万佛湖国家级水产种质资源保护区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城东湖国家级水产种质资源保护区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龙窝湖细鳞斜颌鲴国家级水产种质资源保护区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三山区</w:t>
            </w:r>
          </w:p>
        </w:tc>
        <w:tc>
          <w:tcPr>
            <w:tcW w:w="1733" w:type="dxa"/>
            <w:noWrap/>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青龙湖光倒刺鲃国家级水产种质资源保护区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泊湖秀丽白虾青虾国家级水产种质资源保护区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望江县、太湖县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武昌湖中华鳖黄鳝国家级水产种质资源保护区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破罡湖黄颡鱼国家级水产种质资源保护区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嬉子湖国家级水产种质资源保护区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花亭湖黄尾密鲴国家级水产种质资源保护区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c>
          <w:tcPr>
            <w:tcW w:w="1733" w:type="dxa"/>
            <w:noWrap/>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芡河湖大银鱼省级水产种质资源保护区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c>
          <w:tcPr>
            <w:tcW w:w="1733" w:type="dxa"/>
            <w:noWrap/>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城东湖芡实省级水产种质资源保护区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1733" w:type="dxa"/>
            <w:noWrap/>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白荡湖翘嘴红鮊省级水产种质资源保护区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黄湖中华绒螯蟹省级水产种质资源保护区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2667</w:t>
            </w:r>
          </w:p>
        </w:tc>
      </w:tr>
    </w:tbl>
    <w:p>
      <w:pPr>
        <w:rPr>
          <w:rFonts w:ascii="Times New Roman" w:hAnsi="Times New Roman" w:eastAsia="仿宋_GB2312"/>
          <w:snapToGrid w:val="0"/>
          <w:sz w:val="30"/>
          <w:szCs w:val="24"/>
        </w:rPr>
      </w:pPr>
    </w:p>
    <w:p>
      <w:pPr>
        <w:ind w:firstLine="600" w:firstLineChars="200"/>
        <w:rPr>
          <w:rFonts w:ascii="Times New Roman" w:hAnsi="Times New Roman" w:eastAsia="黑体"/>
          <w:snapToGrid w:val="0"/>
          <w:sz w:val="30"/>
          <w:szCs w:val="24"/>
        </w:rPr>
      </w:pPr>
      <w:r>
        <w:rPr>
          <w:rFonts w:ascii="Times New Roman" w:hAnsi="Times New Roman" w:eastAsia="黑体"/>
          <w:snapToGrid w:val="0"/>
          <w:sz w:val="30"/>
          <w:szCs w:val="24"/>
        </w:rPr>
        <w:t>2－4安徽省湖泊保护名录（其中已纳入禁养区相关类型的水域滩涂，按禁养区管理）</w:t>
      </w:r>
    </w:p>
    <w:tbl>
      <w:tblPr>
        <w:tblStyle w:val="3"/>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2634"/>
        <w:gridCol w:w="1432"/>
        <w:gridCol w:w="1568"/>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578"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2634"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名称</w:t>
            </w:r>
          </w:p>
        </w:tc>
        <w:tc>
          <w:tcPr>
            <w:tcW w:w="143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水域类型</w:t>
            </w:r>
          </w:p>
        </w:tc>
        <w:tc>
          <w:tcPr>
            <w:tcW w:w="1568"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所在市</w:t>
            </w:r>
          </w:p>
        </w:tc>
        <w:tc>
          <w:tcPr>
            <w:tcW w:w="2685"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肥西县、包河区、肥东县、巢湖市、庐江县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黄陂湖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天鹅湖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临涣湖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朔里湖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杜集区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东湖（含中区、东区、西区）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杜集区、相山区、烈山区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烈山区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乾隆湖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任楼湖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许疃煤矿塌陷区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芦岭湖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埇桥区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窝洼</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芡河洼</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蚌埠市、亳州市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蒙城县、怀远县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鳗鲤池</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四方湖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香涧湖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固镇县、五河县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固镇县、五河县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沱湖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五河县、泗县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天井湖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五河县、泗县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老牛洼</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怀远县、淮上区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钓鱼台湖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淮上区、固镇县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天河湖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凤阳县、禹会区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龙子湖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龙子湖区、蚌山区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灵台湖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颍州西湖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关寺塌陷区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李庄塌陷区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颍东区、颍上县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谢桥煤矿塌陷区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颍上县、凤台县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焦岗湖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淮南市、阜阳市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毛集实验区、颍上县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凤台县、毛集实验区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新集2#沉陷湖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新集1#沉陷湖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顾桥沉陷区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姬沟湖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圣庄沉陷区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吕坤沉陷区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地销煤路东沉陷区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大台湾沉陷区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城北湖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丁集矿沉陷湖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丁集采煤沉陷区湖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卢家湖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田集街道塌陷区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芦集镇塌陷区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集南赵后塌陷区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秦万塌陷区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瓦埠湖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寿县、谢家集区、田家庵区、长丰县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施家湖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白洋店湖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肖严湖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梁家湖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十涧湖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谢家集区、田家庵区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合肥市、滁州市、淮南市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长丰县、定远县、凤阳县、大通区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花园湖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明光市、凤阳县、五河县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抹山湖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女山湖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沂湖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洋湖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沙湖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高邮湖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皇庆湖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牧马湖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鸟冲</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城东湖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七成圩湖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杨顺圩湖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七星湖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人民湖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石臼湖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博望区、当涂县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双潭湖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当涂县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雨山湖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花山区、雨山区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竹丝湖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骆家套</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南大湖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龙窝湖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莲花湖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虬塘湖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弋江区、繁昌区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桂港湖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岱湖滩</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繁昌区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清浦塘</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黄塘</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奎湖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浦西湖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黑沙湖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外滩湖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清堰塘</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鸠江区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凤鸣湖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鸠江区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鸠江区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大荒滩</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西河滩</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联圩湖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施茶湖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镜湖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镜湖区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辉湖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北港</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南漪湖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荡南湖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白马湖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宛陵湖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菜子湖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枞阳县、桐城市、宜秀区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白兔湖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连城湖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羹脍赛湖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神灵赛湖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白荡湖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枫沙湖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郊区、无为市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缸窑湖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义安区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水桥湖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郊区、义安区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白浪湖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义安区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桂家湖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天井湖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铜官区、义安区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翠湖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太泊湖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肖思湖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黄泥湖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狭阳湖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丁湖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升金湖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平天湖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十八索</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和平湖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高桥湖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马料湖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天生湖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丰收圩湖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刘村湖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庆丰圩湖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双丰圩湖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西岔湖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龙感湖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北岔</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自泥湖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乌池西湖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乌池东湖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通心港</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南赛湖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泊湖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宿松县、太湖县、望江县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栏杆湖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武昌湖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焦赛湖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白洋湖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钵盂湖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怀宁县、大观区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野塘湖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怀宁县、大观区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石门湖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怀宁县、宜秀区、大观区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破罡湖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宜秀区、迎江区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大观区、迎江区、宜秀区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秦潭湖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迎江区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长枫港湖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宜秀区、迎江区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白泽湖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泗凛湖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张家菜</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迎江区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农场圩湖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石塘湖渔场湖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东风湖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团山湖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鲍冲湖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石安菜</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石塘口</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广济圩湖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宜秀区、迎江区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花赛渔湖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官桥湖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三鸦寺湖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芝麻湖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方家湖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岱赛湖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亭子赛圩湖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新建圩湖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澡盆圩湖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嬉子湖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荔潭湖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迎江区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董铺水库（又称蜀山湖）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蜀山区、庐阳区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大房郢水库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长丰县、庐阳区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龙门寺水库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罗集水库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杜集水库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魏老河水库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陶老坝水库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明城水库（又称明城寺水库）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蔡塘水库（又称双凤湖）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岱山水库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袁河西水库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管湾水库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众兴水库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磨墩水库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大官塘水库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张桥水库（又称双龙湖）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瑶海区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下汤水库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庙计水库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付光水库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草冲水库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肖凤水库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余六水库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稻香水库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江淮水库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蒋集水库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西庄水库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洪桥水库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陷湖陂水库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浪波塘水库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大李水库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程店水库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花岗大官塘水库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小官塘水库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托山水库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潭冲水库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谢高塘水库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蛟头陂水库（又称紫云湖）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柏堰湾水库（又称柏堰湖）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大堰湾水库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西家坝水库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梅冲水库（又称梅冲湖）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独龙背水库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林庄水库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东方红水库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三里河水库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黄花山水库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虎洞水库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移湖水库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金汤水库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果元山水库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蒋家冲水库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洪桥水库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尖山水库（又称尖山湖）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姚洼水库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老郭冲水库（又称少荃湖）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瑶海区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三十头水库（又称鹤翔湖）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瑶海区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翡翠湖水库（又称翡翠湖）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宝教寺水库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南艳湖水库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王嘴水库（又称蜀西湖）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华家湖水库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烈山区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岳庄坝水库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永堌水库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伍柳水库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埇桥区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梁套水库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埇桥区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樵子涧水库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安丰塘水库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大井水库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花果水库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马黄岗水库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张坡塘水库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蔡城塘水库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马厂水库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徐桥水库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黄栗树水库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沙河集水库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釜山水库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屯仓水库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蔡桥水库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桑涧水库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岱山水库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齐顾郑水库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芝麻水库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岗王水库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解放水库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小李水库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墩子王水库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仓东水库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燃灯寺水库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官沟水库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鹿塘水库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分水岭水库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林东水库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南沙河水库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燕子湾水库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川桥水库（跨皖苏两省）</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大通水库（跨皖苏两省）</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跃进水库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安乐水库（跨皖苏两省）</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焦涧水库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大涧口水库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时湾水库（跨皖苏两省）</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车冲水库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练子山水库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平阳水库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独山水库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城西水库（又称西涧湖）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琅琊区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马厂水库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赵店水库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土桥水库（麒麟湖）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琅琊山抽水蓄能电站上水库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坝田水库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刘跳水库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岗陈水库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谕兴水库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墩子水库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官塘涧水库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刘庄水库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乔田水库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烂泥湖水库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魏桥水库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虎山水库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东风水库（跨皖苏两省）</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陡山水库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团山丁水库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上陶水库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宝塔水库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丰产水库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瓦山水库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兴云水库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官渡水库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锥子集水库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上石坝水库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小山头水库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王集坝水库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赵八港水库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东寺港水库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苏家沟水库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石塘罗水库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张花郢水库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叹儿湾水库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草塘水库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凤龙坝水库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白山凌水库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刘府塘水库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小罗坝水库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小（2）型</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老观井水库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大胡水库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大石塘水库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二龙水库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劳武水库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伏塘水库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吴庄水库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曹冲水库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蒋大庙水库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界牌水库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漫张水库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黄泥塘水库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孙集水库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七里塘水库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牛老坝水库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陡河沿水库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周老坝水库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大倾塘水库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西洋山水库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官桥吴水库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官塘沐水库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扫帚坝水库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东小吴水库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德胜水库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红石沟水库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金歪桥水库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南谯区、琅琊区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朗峰水库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红花桥水库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樟木山水库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储城寺水库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小（2）型</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响洪甸水库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梅山水库（又称梅山湖）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佛子岭水库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白莲崖水库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磨子潭水库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龙河口水库（又称万佛湖）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蝎子山水库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老圈行水库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水门塘水库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流波水库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翻山河水库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溜山水库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鲁冲水库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爱国塘水库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响洪甸抽水蓄能电站水库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漩网寺水库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棠树大官塘水库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荷花堰水库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老虎冲水库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东风水库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昭关水库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戎桥水库（又称香泉湖）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夹山关水库（又称如山湖）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环峰塘水库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任家湖水库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半边月水库（又称半月湖）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大陈水库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响水涧抽水蓄能电站上水库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响水涧抽水蓄能电站下水库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苏塘水库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牌楼水库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皖江水库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港口湾水库（又称青龙湖）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天子门水库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龙须湖水库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卢村水库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张家湾水库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塘埂头水库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独山水库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郎源水库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梅松树水库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侯村水库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杨家店水库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百家冲水库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石门卡水库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畈村水库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东风水库（昆山湖）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祖庄水库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大板水库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白水塔水库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侯店水库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花凉亭水库（又称花亭湖）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钓鱼台水库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方洲水库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麻塘湖水库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观音洞水库（又称观音湖）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雷公井电站水库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九井岗电站水库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潜山市、岳西县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毛尖山水库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大龙潭水库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境主庙水库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牯牛背水库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汪洋水库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胜利水库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皖埠水库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金鸡岭水库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褒隐寺水库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黄大口水库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陈村水库（又称太平湖）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丰乐水库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毛坦水库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东方红水库（又称奇墅湖）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湘溪岭水库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万石滩电站水库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溶口电站水库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溪口水库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丰乐二坝水库（鸳鸯湖）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徽州区</w:t>
            </w:r>
          </w:p>
        </w:tc>
      </w:tr>
    </w:tbl>
    <w:p>
      <w:pPr>
        <w:rPr>
          <w:rFonts w:ascii="Times New Roman" w:hAnsi="Times New Roman" w:eastAsia="仿宋_GB2312"/>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r>
        <w:rPr>
          <w:rFonts w:ascii="Times New Roman" w:hAnsi="Times New Roman" w:eastAsia="黑体"/>
          <w:snapToGrid w:val="0"/>
          <w:sz w:val="32"/>
          <w:szCs w:val="32"/>
        </w:rPr>
        <w:t>附件4</w:t>
      </w:r>
    </w:p>
    <w:p>
      <w:pPr>
        <w:spacing w:line="600" w:lineRule="exact"/>
        <w:jc w:val="center"/>
        <w:outlineLvl w:val="0"/>
        <w:rPr>
          <w:rFonts w:ascii="Times New Roman" w:hAnsi="Times New Roman" w:eastAsia="方正小标宋简体"/>
          <w:snapToGrid w:val="0"/>
          <w:sz w:val="44"/>
          <w:szCs w:val="44"/>
        </w:rPr>
      </w:pPr>
      <w:bookmarkStart w:id="150" w:name="_Toc130907284"/>
      <w:bookmarkStart w:id="151" w:name="_Toc728273203"/>
    </w:p>
    <w:p>
      <w:pPr>
        <w:spacing w:line="600" w:lineRule="exact"/>
        <w:jc w:val="center"/>
        <w:outlineLvl w:val="0"/>
        <w:rPr>
          <w:rFonts w:ascii="Times New Roman" w:hAnsi="Times New Roman" w:eastAsia="方正小标宋简体"/>
          <w:snapToGrid w:val="0"/>
          <w:sz w:val="44"/>
          <w:szCs w:val="44"/>
        </w:rPr>
      </w:pPr>
      <w:r>
        <w:rPr>
          <w:rFonts w:ascii="Times New Roman" w:hAnsi="Times New Roman" w:eastAsia="方正小标宋简体"/>
          <w:snapToGrid w:val="0"/>
          <w:sz w:val="44"/>
          <w:szCs w:val="44"/>
        </w:rPr>
        <w:t>安徽省养殖水域滩涂养殖区信息表</w:t>
      </w:r>
      <w:bookmarkEnd w:id="150"/>
      <w:bookmarkEnd w:id="151"/>
    </w:p>
    <w:p>
      <w:pPr>
        <w:jc w:val="right"/>
        <w:rPr>
          <w:rFonts w:ascii="Times New Roman" w:hAnsi="Times New Roman" w:eastAsia="仿宋_GB2312"/>
          <w:snapToGrid w:val="0"/>
          <w:sz w:val="28"/>
          <w:szCs w:val="28"/>
        </w:rPr>
      </w:pPr>
    </w:p>
    <w:p>
      <w:pPr>
        <w:jc w:val="right"/>
        <w:rPr>
          <w:rFonts w:ascii="Times New Roman" w:hAnsi="Times New Roman" w:eastAsia="仿宋_GB2312"/>
          <w:snapToGrid w:val="0"/>
          <w:sz w:val="28"/>
          <w:szCs w:val="28"/>
        </w:rPr>
      </w:pPr>
      <w:r>
        <w:rPr>
          <w:rFonts w:ascii="Times New Roman" w:hAnsi="Times New Roman" w:eastAsia="仿宋_GB2312"/>
          <w:snapToGrid w:val="0"/>
          <w:sz w:val="28"/>
          <w:szCs w:val="28"/>
        </w:rPr>
        <w:t>单位：公顷</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1622"/>
        <w:gridCol w:w="1622"/>
        <w:gridCol w:w="1189"/>
        <w:gridCol w:w="1745"/>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eastAsia="黑体"/>
                <w:snapToGrid w:val="0"/>
                <w:color w:val="000000"/>
                <w:sz w:val="24"/>
                <w:szCs w:val="24"/>
              </w:rPr>
            </w:pPr>
            <w:r>
              <w:rPr>
                <w:rFonts w:ascii="Times New Roman" w:hAnsi="Times New Roman" w:eastAsia="黑体"/>
                <w:snapToGrid w:val="0"/>
                <w:color w:val="000000"/>
                <w:kern w:val="0"/>
                <w:sz w:val="24"/>
                <w:szCs w:val="24"/>
                <w:lang w:bidi="ar"/>
              </w:rPr>
              <w:t>市</w:t>
            </w:r>
          </w:p>
        </w:tc>
        <w:tc>
          <w:tcPr>
            <w:tcW w:w="1622" w:type="dxa"/>
            <w:vAlign w:val="center"/>
          </w:tcPr>
          <w:p>
            <w:pPr>
              <w:widowControl/>
              <w:spacing w:line="240" w:lineRule="exact"/>
              <w:jc w:val="center"/>
              <w:textAlignment w:val="center"/>
              <w:rPr>
                <w:rFonts w:ascii="Times New Roman" w:hAnsi="Times New Roman" w:eastAsia="黑体"/>
                <w:snapToGrid w:val="0"/>
                <w:color w:val="000000"/>
                <w:sz w:val="24"/>
                <w:szCs w:val="24"/>
              </w:rPr>
            </w:pPr>
            <w:r>
              <w:rPr>
                <w:rFonts w:ascii="Times New Roman" w:hAnsi="Times New Roman" w:eastAsia="黑体"/>
                <w:snapToGrid w:val="0"/>
                <w:color w:val="000000"/>
                <w:kern w:val="0"/>
                <w:sz w:val="24"/>
                <w:szCs w:val="24"/>
                <w:lang w:bidi="ar"/>
              </w:rPr>
              <w:t>合计</w:t>
            </w:r>
          </w:p>
        </w:tc>
        <w:tc>
          <w:tcPr>
            <w:tcW w:w="1622" w:type="dxa"/>
            <w:vAlign w:val="center"/>
          </w:tcPr>
          <w:p>
            <w:pPr>
              <w:widowControl/>
              <w:spacing w:line="240" w:lineRule="exact"/>
              <w:jc w:val="center"/>
              <w:textAlignment w:val="center"/>
              <w:rPr>
                <w:rFonts w:ascii="Times New Roman" w:hAnsi="Times New Roman" w:eastAsia="黑体"/>
                <w:snapToGrid w:val="0"/>
                <w:color w:val="000000"/>
                <w:sz w:val="24"/>
                <w:szCs w:val="24"/>
              </w:rPr>
            </w:pPr>
            <w:r>
              <w:rPr>
                <w:rFonts w:ascii="Times New Roman" w:hAnsi="Times New Roman" w:eastAsia="黑体"/>
                <w:snapToGrid w:val="0"/>
                <w:color w:val="000000"/>
                <w:kern w:val="0"/>
                <w:sz w:val="24"/>
                <w:szCs w:val="24"/>
                <w:lang w:bidi="ar"/>
              </w:rPr>
              <w:t>池塘</w:t>
            </w:r>
          </w:p>
        </w:tc>
        <w:tc>
          <w:tcPr>
            <w:tcW w:w="1189" w:type="dxa"/>
            <w:vAlign w:val="center"/>
          </w:tcPr>
          <w:p>
            <w:pPr>
              <w:widowControl/>
              <w:spacing w:line="240" w:lineRule="exact"/>
              <w:jc w:val="center"/>
              <w:textAlignment w:val="center"/>
              <w:rPr>
                <w:rFonts w:ascii="Times New Roman" w:hAnsi="Times New Roman" w:eastAsia="黑体"/>
                <w:snapToGrid w:val="0"/>
                <w:color w:val="000000"/>
                <w:sz w:val="24"/>
                <w:szCs w:val="24"/>
              </w:rPr>
            </w:pPr>
            <w:r>
              <w:rPr>
                <w:rFonts w:ascii="Times New Roman" w:hAnsi="Times New Roman" w:eastAsia="黑体"/>
                <w:snapToGrid w:val="0"/>
                <w:color w:val="000000"/>
                <w:kern w:val="0"/>
                <w:sz w:val="24"/>
                <w:szCs w:val="24"/>
                <w:lang w:bidi="ar"/>
              </w:rPr>
              <w:t>水库</w:t>
            </w:r>
          </w:p>
        </w:tc>
        <w:tc>
          <w:tcPr>
            <w:tcW w:w="1745" w:type="dxa"/>
            <w:vAlign w:val="center"/>
          </w:tcPr>
          <w:p>
            <w:pPr>
              <w:widowControl/>
              <w:spacing w:line="240" w:lineRule="exact"/>
              <w:jc w:val="center"/>
              <w:textAlignment w:val="center"/>
              <w:rPr>
                <w:rFonts w:ascii="Times New Roman" w:hAnsi="Times New Roman" w:eastAsia="黑体"/>
                <w:snapToGrid w:val="0"/>
                <w:color w:val="000000"/>
                <w:sz w:val="24"/>
                <w:szCs w:val="24"/>
              </w:rPr>
            </w:pPr>
            <w:r>
              <w:rPr>
                <w:rFonts w:ascii="Times New Roman" w:hAnsi="Times New Roman" w:eastAsia="黑体"/>
                <w:snapToGrid w:val="0"/>
                <w:color w:val="000000"/>
                <w:kern w:val="0"/>
                <w:sz w:val="24"/>
                <w:szCs w:val="24"/>
                <w:lang w:bidi="ar"/>
              </w:rPr>
              <w:t>湖泊或塌陷区</w:t>
            </w:r>
          </w:p>
        </w:tc>
        <w:tc>
          <w:tcPr>
            <w:tcW w:w="1482" w:type="dxa"/>
            <w:vAlign w:val="center"/>
          </w:tcPr>
          <w:p>
            <w:pPr>
              <w:widowControl/>
              <w:spacing w:line="240" w:lineRule="exact"/>
              <w:jc w:val="center"/>
              <w:textAlignment w:val="center"/>
              <w:rPr>
                <w:rFonts w:ascii="Times New Roman" w:hAnsi="Times New Roman" w:eastAsia="黑体"/>
                <w:snapToGrid w:val="0"/>
                <w:color w:val="000000"/>
                <w:sz w:val="24"/>
                <w:szCs w:val="24"/>
              </w:rPr>
            </w:pPr>
            <w:r>
              <w:rPr>
                <w:rFonts w:ascii="Times New Roman" w:hAnsi="Times New Roman" w:eastAsia="黑体"/>
                <w:snapToGrid w:val="0"/>
                <w:color w:val="000000"/>
                <w:kern w:val="0"/>
                <w:sz w:val="24"/>
                <w:szCs w:val="24"/>
                <w:lang w:bidi="ar"/>
              </w:rPr>
              <w:t>河沟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合肥市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28201</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23039</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3171</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淮北市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2844</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2267</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577</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w:t>
            </w:r>
          </w:p>
        </w:tc>
        <w:tc>
          <w:tcPr>
            <w:tcW w:w="1482" w:type="dxa"/>
            <w:vAlign w:val="center"/>
          </w:tcPr>
          <w:p>
            <w:pPr>
              <w:spacing w:line="240" w:lineRule="exact"/>
              <w:jc w:val="center"/>
              <w:rPr>
                <w:rFonts w:ascii="Times New Roman" w:hAnsi="Times New Roman"/>
                <w:snapToGrid w:val="0"/>
                <w:color w:val="000000"/>
                <w:sz w:val="24"/>
                <w:szCs w:val="24"/>
              </w:rPr>
            </w:pPr>
            <w:r>
              <w:rPr>
                <w:rFonts w:ascii="Times New Roman" w:hAnsi="Times New Roman"/>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亳州市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25667</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10667</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宿州市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13247</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6460</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786</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914</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5087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蚌埠市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10311</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6980</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176</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680</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阜阳市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20698</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13643</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267</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淮南市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15941</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11216</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1179</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3546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滁州市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46518</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36922</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9472</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124</w:t>
            </w:r>
          </w:p>
        </w:tc>
        <w:tc>
          <w:tcPr>
            <w:tcW w:w="1482" w:type="dxa"/>
            <w:vAlign w:val="center"/>
          </w:tcPr>
          <w:p>
            <w:pPr>
              <w:spacing w:line="240" w:lineRule="exact"/>
              <w:jc w:val="center"/>
              <w:rPr>
                <w:rFonts w:ascii="Times New Roman" w:hAnsi="Times New Roman"/>
                <w:snapToGrid w:val="0"/>
                <w:color w:val="000000"/>
                <w:sz w:val="24"/>
                <w:szCs w:val="24"/>
              </w:rPr>
            </w:pPr>
            <w:r>
              <w:rPr>
                <w:rFonts w:ascii="Times New Roman" w:hAnsi="Times New Roman"/>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六安市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26849</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24754</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2041</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54</w:t>
            </w:r>
          </w:p>
        </w:tc>
        <w:tc>
          <w:tcPr>
            <w:tcW w:w="1482" w:type="dxa"/>
            <w:vAlign w:val="center"/>
          </w:tcPr>
          <w:p>
            <w:pPr>
              <w:spacing w:line="240" w:lineRule="exact"/>
              <w:jc w:val="center"/>
              <w:rPr>
                <w:rFonts w:ascii="Times New Roman" w:hAnsi="Times New Roman"/>
                <w:snapToGrid w:val="0"/>
                <w:color w:val="000000"/>
                <w:sz w:val="24"/>
                <w:szCs w:val="24"/>
              </w:rPr>
            </w:pPr>
            <w:r>
              <w:rPr>
                <w:rFonts w:ascii="Times New Roman" w:hAnsi="Times New Roman"/>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马鞍山市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21938</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11009</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693</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650</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芜湖市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28152</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24060</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25</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1067</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宣城市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16452</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9746</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2646</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21</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4039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铜陵市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11112</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7968</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499</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807</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池州市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7797</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4814</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1550</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503</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安庆市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25051</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22929</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1471</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651</w:t>
            </w:r>
          </w:p>
        </w:tc>
        <w:tc>
          <w:tcPr>
            <w:tcW w:w="1482" w:type="dxa"/>
            <w:vAlign w:val="center"/>
          </w:tcPr>
          <w:p>
            <w:pPr>
              <w:spacing w:line="240" w:lineRule="exact"/>
              <w:jc w:val="center"/>
              <w:rPr>
                <w:rFonts w:ascii="Times New Roman" w:hAnsi="Times New Roman"/>
                <w:snapToGrid w:val="0"/>
                <w:color w:val="000000"/>
                <w:sz w:val="24"/>
                <w:szCs w:val="24"/>
              </w:rPr>
            </w:pPr>
            <w:r>
              <w:rPr>
                <w:rFonts w:ascii="Times New Roman" w:hAnsi="Times New Roman"/>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黄山市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1610</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1009</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601</w:t>
            </w:r>
          </w:p>
        </w:tc>
        <w:tc>
          <w:tcPr>
            <w:tcW w:w="1745" w:type="dxa"/>
            <w:vAlign w:val="center"/>
          </w:tcPr>
          <w:p>
            <w:pPr>
              <w:spacing w:line="240" w:lineRule="exact"/>
              <w:jc w:val="center"/>
              <w:rPr>
                <w:rFonts w:ascii="Times New Roman" w:hAnsi="Times New Roman"/>
                <w:snapToGrid w:val="0"/>
                <w:color w:val="000000"/>
                <w:sz w:val="24"/>
                <w:szCs w:val="24"/>
              </w:rPr>
            </w:pPr>
            <w:r>
              <w:rPr>
                <w:rFonts w:ascii="Times New Roman" w:hAnsi="Times New Roman"/>
                <w:snapToGrid w:val="0"/>
                <w:color w:val="000000"/>
                <w:sz w:val="24"/>
                <w:szCs w:val="24"/>
              </w:rPr>
              <w:t>/</w:t>
            </w:r>
          </w:p>
        </w:tc>
        <w:tc>
          <w:tcPr>
            <w:tcW w:w="1482" w:type="dxa"/>
            <w:vAlign w:val="center"/>
          </w:tcPr>
          <w:p>
            <w:pPr>
              <w:spacing w:line="240" w:lineRule="exact"/>
              <w:jc w:val="center"/>
              <w:rPr>
                <w:rFonts w:ascii="Times New Roman" w:hAnsi="Times New Roman"/>
                <w:snapToGrid w:val="0"/>
                <w:color w:val="000000"/>
                <w:sz w:val="24"/>
                <w:szCs w:val="24"/>
              </w:rPr>
            </w:pPr>
            <w:r>
              <w:rPr>
                <w:rFonts w:ascii="Times New Roman" w:hAnsi="Times New Roman"/>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全省合计</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302388</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217483</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24886</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5739</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54280</w:t>
            </w:r>
          </w:p>
        </w:tc>
      </w:tr>
    </w:tbl>
    <w:p>
      <w:pPr>
        <w:outlineLvl w:val="1"/>
        <w:rPr>
          <w:rFonts w:ascii="Times New Roman" w:hAnsi="Times New Roman" w:eastAsia="仿宋_GB2312"/>
          <w:snapToGrid w:val="0"/>
          <w:sz w:val="32"/>
          <w:szCs w:val="32"/>
        </w:rPr>
      </w:pPr>
    </w:p>
    <w:p>
      <w:pPr>
        <w:jc w:val="left"/>
        <w:outlineLvl w:val="2"/>
        <w:rPr>
          <w:rFonts w:ascii="Times New Roman" w:hAnsi="Times New Roman" w:eastAsia="方正小标宋简体"/>
          <w:snapToGrid w:val="0"/>
          <w:sz w:val="44"/>
          <w:szCs w:val="44"/>
        </w:rPr>
        <w:sectPr>
          <w:footerReference r:id="rId3" w:type="default"/>
          <w:footerReference r:id="rId4" w:type="even"/>
          <w:pgSz w:w="11906" w:h="16838"/>
          <w:pgMar w:top="1871" w:right="1531" w:bottom="1701" w:left="1531" w:header="851" w:footer="1418" w:gutter="0"/>
          <w:cols w:space="720" w:num="1"/>
          <w:docGrid w:linePitch="312" w:charSpace="0"/>
        </w:sectPr>
      </w:pPr>
      <w:bookmarkStart w:id="152" w:name="_Toc1077836636"/>
      <w:r>
        <w:drawing>
          <wp:anchor distT="0" distB="0" distL="0" distR="0" simplePos="0" relativeHeight="251660288" behindDoc="0" locked="0" layoutInCell="1" allowOverlap="1">
            <wp:simplePos x="0" y="0"/>
            <wp:positionH relativeFrom="column">
              <wp:posOffset>0</wp:posOffset>
            </wp:positionH>
            <wp:positionV relativeFrom="paragraph">
              <wp:posOffset>342265</wp:posOffset>
            </wp:positionV>
            <wp:extent cx="5612765" cy="7936865"/>
            <wp:effectExtent l="0" t="0" r="635" b="635"/>
            <wp:wrapTopAndBottom/>
            <wp:docPr id="1" name="图片 6" descr="说明: 说明: 安徽省养殖水域滩涂规划现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说明: 说明: 安徽省养殖水域滩涂规划现状图"/>
                    <pic:cNvPicPr>
                      <a:picLocks noChangeAspect="1"/>
                    </pic:cNvPicPr>
                  </pic:nvPicPr>
                  <pic:blipFill>
                    <a:blip r:embed="rId10"/>
                    <a:stretch>
                      <a:fillRect/>
                    </a:stretch>
                  </pic:blipFill>
                  <pic:spPr>
                    <a:xfrm>
                      <a:off x="0" y="0"/>
                      <a:ext cx="5612765" cy="7936865"/>
                    </a:xfrm>
                    <a:prstGeom prst="rect">
                      <a:avLst/>
                    </a:prstGeom>
                    <a:noFill/>
                    <a:ln>
                      <a:noFill/>
                    </a:ln>
                  </pic:spPr>
                </pic:pic>
              </a:graphicData>
            </a:graphic>
          </wp:anchor>
        </w:drawing>
      </w:r>
      <w:r>
        <w:rPr>
          <w:rFonts w:ascii="Times New Roman" w:hAnsi="Times New Roman" w:eastAsia="黑体"/>
          <w:snapToGrid w:val="0"/>
          <w:sz w:val="32"/>
          <w:szCs w:val="32"/>
        </w:rPr>
        <w:t>附件</w:t>
      </w:r>
      <w:bookmarkEnd w:id="152"/>
      <w:r>
        <w:rPr>
          <w:rFonts w:ascii="Times New Roman" w:hAnsi="Times New Roman" w:eastAsia="黑体"/>
          <w:snapToGrid w:val="0"/>
          <w:sz w:val="32"/>
          <w:szCs w:val="32"/>
        </w:rPr>
        <w:t>5</w:t>
      </w:r>
    </w:p>
    <w:p>
      <w:pPr>
        <w:outlineLvl w:val="2"/>
        <w:rPr>
          <w:rFonts w:ascii="Times New Roman" w:hAnsi="Times New Roman" w:eastAsia="方正小标宋简体"/>
          <w:snapToGrid w:val="0"/>
          <w:sz w:val="44"/>
          <w:szCs w:val="44"/>
        </w:rPr>
      </w:pPr>
      <w:bookmarkStart w:id="153" w:name="_Toc651358067"/>
      <w:r>
        <w:drawing>
          <wp:anchor distT="0" distB="0" distL="0" distR="0" simplePos="0" relativeHeight="251661312" behindDoc="0" locked="0" layoutInCell="1" allowOverlap="1">
            <wp:simplePos x="0" y="0"/>
            <wp:positionH relativeFrom="column">
              <wp:posOffset>-48895</wp:posOffset>
            </wp:positionH>
            <wp:positionV relativeFrom="paragraph">
              <wp:posOffset>388620</wp:posOffset>
            </wp:positionV>
            <wp:extent cx="5612765" cy="7936865"/>
            <wp:effectExtent l="0" t="0" r="635" b="635"/>
            <wp:wrapTopAndBottom/>
            <wp:docPr id="2" name="图片 5" descr="说明: 说明: 安徽省养殖水域滩涂规划（全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说明: 说明: 安徽省养殖水域滩涂规划（全省）"/>
                    <pic:cNvPicPr>
                      <a:picLocks noChangeAspect="1"/>
                    </pic:cNvPicPr>
                  </pic:nvPicPr>
                  <pic:blipFill>
                    <a:blip r:embed="rId11"/>
                    <a:stretch>
                      <a:fillRect/>
                    </a:stretch>
                  </pic:blipFill>
                  <pic:spPr>
                    <a:xfrm>
                      <a:off x="0" y="0"/>
                      <a:ext cx="5612765" cy="7936865"/>
                    </a:xfrm>
                    <a:prstGeom prst="rect">
                      <a:avLst/>
                    </a:prstGeom>
                    <a:noFill/>
                    <a:ln>
                      <a:noFill/>
                    </a:ln>
                  </pic:spPr>
                </pic:pic>
              </a:graphicData>
            </a:graphic>
          </wp:anchor>
        </w:drawing>
      </w:r>
      <w:r>
        <w:rPr>
          <w:rFonts w:ascii="Times New Roman" w:hAnsi="Times New Roman" w:eastAsia="黑体"/>
          <w:snapToGrid w:val="0"/>
          <w:sz w:val="32"/>
          <w:szCs w:val="32"/>
        </w:rPr>
        <w:t>附件</w:t>
      </w:r>
      <w:bookmarkEnd w:id="153"/>
      <w:bookmarkStart w:id="154" w:name="_Toc1265379727"/>
      <w:bookmarkStart w:id="155" w:name="_Toc254101897"/>
      <w:r>
        <w:rPr>
          <w:rFonts w:ascii="Times New Roman" w:hAnsi="Times New Roman" w:eastAsia="黑体"/>
          <w:snapToGrid w:val="0"/>
          <w:sz w:val="32"/>
          <w:szCs w:val="32"/>
        </w:rPr>
        <w:t>6</w:t>
      </w:r>
      <w:bookmarkEnd w:id="154"/>
      <w:bookmarkEnd w:id="155"/>
    </w:p>
    <w:p>
      <w:pPr>
        <w:jc w:val="left"/>
        <w:rPr>
          <w:rFonts w:ascii="Times New Roman" w:hAnsi="Times New Roman" w:eastAsia="黑体"/>
          <w:snapToGrid w:val="0"/>
          <w:sz w:val="32"/>
          <w:szCs w:val="32"/>
        </w:rPr>
      </w:pPr>
      <w:r>
        <w:drawing>
          <wp:anchor distT="0" distB="0" distL="114300" distR="114300" simplePos="0" relativeHeight="251662336" behindDoc="0" locked="0" layoutInCell="1" allowOverlap="1">
            <wp:simplePos x="0" y="0"/>
            <wp:positionH relativeFrom="column">
              <wp:posOffset>-84455</wp:posOffset>
            </wp:positionH>
            <wp:positionV relativeFrom="paragraph">
              <wp:posOffset>403860</wp:posOffset>
            </wp:positionV>
            <wp:extent cx="5612765" cy="7936865"/>
            <wp:effectExtent l="0" t="0" r="635" b="635"/>
            <wp:wrapSquare wrapText="bothSides"/>
            <wp:docPr id="4" name="图片 4" descr="说明: 说明: 安徽省禁养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说明: 安徽省禁养区"/>
                    <pic:cNvPicPr>
                      <a:picLocks noChangeAspect="1"/>
                    </pic:cNvPicPr>
                  </pic:nvPicPr>
                  <pic:blipFill>
                    <a:blip r:embed="rId12"/>
                    <a:stretch>
                      <a:fillRect/>
                    </a:stretch>
                  </pic:blipFill>
                  <pic:spPr>
                    <a:xfrm>
                      <a:off x="0" y="0"/>
                      <a:ext cx="5612765" cy="7936865"/>
                    </a:xfrm>
                    <a:prstGeom prst="rect">
                      <a:avLst/>
                    </a:prstGeom>
                    <a:noFill/>
                    <a:ln>
                      <a:noFill/>
                    </a:ln>
                  </pic:spPr>
                </pic:pic>
              </a:graphicData>
            </a:graphic>
          </wp:anchor>
        </w:drawing>
      </w:r>
      <w:r>
        <w:rPr>
          <w:rFonts w:ascii="Times New Roman" w:hAnsi="Times New Roman" w:eastAsia="黑体"/>
          <w:snapToGrid w:val="0"/>
          <w:sz w:val="32"/>
          <w:szCs w:val="32"/>
        </w:rPr>
        <w:t>附件7</w:t>
      </w:r>
    </w:p>
    <w:p>
      <w:pPr>
        <w:outlineLvl w:val="2"/>
        <w:rPr>
          <w:rFonts w:ascii="Times New Roman" w:hAnsi="Times New Roman" w:eastAsia="黑体"/>
          <w:snapToGrid w:val="0"/>
          <w:sz w:val="32"/>
          <w:szCs w:val="32"/>
        </w:rPr>
      </w:pPr>
      <w:r>
        <w:drawing>
          <wp:anchor distT="0" distB="0" distL="114300" distR="114300" simplePos="0" relativeHeight="251663360" behindDoc="0" locked="0" layoutInCell="1" allowOverlap="1">
            <wp:simplePos x="0" y="0"/>
            <wp:positionH relativeFrom="column">
              <wp:posOffset>-133985</wp:posOffset>
            </wp:positionH>
            <wp:positionV relativeFrom="paragraph">
              <wp:posOffset>378460</wp:posOffset>
            </wp:positionV>
            <wp:extent cx="5612765" cy="7936865"/>
            <wp:effectExtent l="0" t="0" r="635" b="635"/>
            <wp:wrapSquare wrapText="bothSides"/>
            <wp:docPr id="5" name="图片 2" descr="说明: 说明: 安徽省限养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说明: 安徽省限养区"/>
                    <pic:cNvPicPr>
                      <a:picLocks noChangeAspect="1"/>
                    </pic:cNvPicPr>
                  </pic:nvPicPr>
                  <pic:blipFill>
                    <a:blip r:embed="rId13"/>
                    <a:stretch>
                      <a:fillRect/>
                    </a:stretch>
                  </pic:blipFill>
                  <pic:spPr>
                    <a:xfrm>
                      <a:off x="0" y="0"/>
                      <a:ext cx="5612765" cy="7936865"/>
                    </a:xfrm>
                    <a:prstGeom prst="rect">
                      <a:avLst/>
                    </a:prstGeom>
                    <a:noFill/>
                    <a:ln>
                      <a:noFill/>
                    </a:ln>
                  </pic:spPr>
                </pic:pic>
              </a:graphicData>
            </a:graphic>
          </wp:anchor>
        </w:drawing>
      </w:r>
      <w:r>
        <w:rPr>
          <w:rFonts w:ascii="Times New Roman" w:hAnsi="Times New Roman" w:eastAsia="黑体"/>
          <w:snapToGrid w:val="0"/>
          <w:sz w:val="32"/>
          <w:szCs w:val="32"/>
        </w:rPr>
        <w:t>附件8</w:t>
      </w:r>
    </w:p>
    <w:p>
      <w:pPr>
        <w:outlineLvl w:val="2"/>
        <w:rPr>
          <w:rFonts w:ascii="Times New Roman" w:hAnsi="Times New Roman"/>
        </w:rPr>
      </w:pPr>
      <w:r>
        <w:drawing>
          <wp:anchor distT="0" distB="0" distL="114300" distR="114300" simplePos="0" relativeHeight="251664384" behindDoc="0" locked="0" layoutInCell="1" allowOverlap="1">
            <wp:simplePos x="0" y="0"/>
            <wp:positionH relativeFrom="column">
              <wp:posOffset>25400</wp:posOffset>
            </wp:positionH>
            <wp:positionV relativeFrom="paragraph">
              <wp:posOffset>381000</wp:posOffset>
            </wp:positionV>
            <wp:extent cx="5612765" cy="7936865"/>
            <wp:effectExtent l="0" t="0" r="635" b="635"/>
            <wp:wrapSquare wrapText="bothSides"/>
            <wp:docPr id="6" name="图片 1" descr="说明: 说明: 安徽省养殖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说明: 说明: 安徽省养殖区"/>
                    <pic:cNvPicPr>
                      <a:picLocks noChangeAspect="1"/>
                    </pic:cNvPicPr>
                  </pic:nvPicPr>
                  <pic:blipFill>
                    <a:blip r:embed="rId14"/>
                    <a:stretch>
                      <a:fillRect/>
                    </a:stretch>
                  </pic:blipFill>
                  <pic:spPr>
                    <a:xfrm>
                      <a:off x="0" y="0"/>
                      <a:ext cx="5612765" cy="7936865"/>
                    </a:xfrm>
                    <a:prstGeom prst="rect">
                      <a:avLst/>
                    </a:prstGeom>
                    <a:noFill/>
                    <a:ln>
                      <a:noFill/>
                    </a:ln>
                  </pic:spPr>
                </pic:pic>
              </a:graphicData>
            </a:graphic>
          </wp:anchor>
        </w:drawing>
      </w:r>
      <w:r>
        <w:rPr>
          <w:rFonts w:ascii="Times New Roman" w:hAnsi="Times New Roman" w:eastAsia="黑体"/>
          <w:snapToGrid w:val="0"/>
          <w:sz w:val="32"/>
          <w:szCs w:val="32"/>
        </w:rPr>
        <w:t>附件9</w:t>
      </w:r>
    </w:p>
    <w:p>
      <w:pPr>
        <w:rPr>
          <w:rFonts w:ascii="Times New Roman" w:hAnsi="Times New Roman" w:eastAsia="仿宋_GB2312"/>
          <w:sz w:val="32"/>
        </w:rPr>
        <w:sectPr>
          <w:footerReference r:id="rId5" w:type="default"/>
          <w:footerReference r:id="rId6" w:type="even"/>
          <w:pgSz w:w="11907" w:h="16840"/>
          <w:pgMar w:top="1871" w:right="1531" w:bottom="1701" w:left="1531" w:header="851" w:footer="1418" w:gutter="0"/>
          <w:cols w:space="425" w:num="1"/>
          <w:docGrid w:linePitch="603" w:charSpace="21679"/>
        </w:sect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tabs>
          <w:tab w:val="left" w:pos="8715"/>
        </w:tabs>
        <w:snapToGrid w:val="0"/>
        <w:spacing w:line="60" w:lineRule="exact"/>
        <w:ind w:left="984" w:leftChars="150" w:right="210" w:rightChars="100" w:hanging="669" w:hangingChars="319"/>
        <w:rPr>
          <w:rFonts w:ascii="Times New Roman" w:hAnsi="Times New Roman"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36195</wp:posOffset>
                </wp:positionV>
                <wp:extent cx="5615940" cy="0"/>
                <wp:effectExtent l="0" t="6350" r="10160" b="6350"/>
                <wp:wrapNone/>
                <wp:docPr id="7"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直接连接符 6" o:spid="_x0000_s1026" o:spt="20" style="position:absolute;left:0pt;margin-top:2.85pt;height:0pt;width:442.2pt;mso-position-horizontal:center;z-index:251659264;mso-width-relative:page;mso-height-relative:page;" filled="f" stroked="t" coordsize="21600,21600" o:gfxdata="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hQK6dQA&#10;AAAEAQAADwAAAAAAAAABACAAAAAiAAAAZHJzL2Rvd25yZXYueG1sUEsBAhQAFAAAAAgAh07iQGfv&#10;j0DqAQAAuQMAAA4AAAAAAAAAAQAgAAAAIwEAAGRycy9lMm9Eb2MueG1sUEsFBgAAAAAGAAYAWQEA&#10;AH8FAAAAAA==&#10;">
                <v:fill on="f" focussize="0,0"/>
                <v:stroke weight="1pt" color="#000000" joinstyle="round"/>
                <v:imagedata o:title=""/>
                <o:lock v:ext="edit" aspectratio="f"/>
              </v:line>
            </w:pict>
          </mc:Fallback>
        </mc:AlternateContent>
      </w:r>
    </w:p>
    <w:p/>
    <w:sectPr>
      <w:footerReference r:id="rId7" w:type="default"/>
      <w:footerReference r:id="rId8" w:type="even"/>
      <w:pgSz w:w="11907" w:h="16840"/>
      <w:pgMar w:top="1871" w:right="1531" w:bottom="1701" w:left="1531" w:header="851" w:footer="1418" w:gutter="0"/>
      <w:cols w:space="425" w:num="1"/>
      <w:docGrid w:linePitch="60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814" w:wrap="around" w:vAnchor="text" w:hAnchor="margin" w:xAlign="outside" w:y="1"/>
      <w:snapToGrid w:val="0"/>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snapToGrid w:val="0"/>
      <w:jc w:val="left"/>
      <w:rPr>
        <w:rFonts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814" w:wrap="around" w:vAnchor="text" w:hAnchor="margin" w:xAlign="outside" w:y="1"/>
      <w:snapToGrid w:val="0"/>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98</w:t>
    </w:r>
    <w:r>
      <w:rPr>
        <w:rFonts w:ascii="宋体" w:hAnsi="宋体"/>
        <w:sz w:val="28"/>
        <w:szCs w:val="28"/>
      </w:rPr>
      <w:fldChar w:fldCharType="end"/>
    </w:r>
    <w:r>
      <w:rPr>
        <w:rFonts w:hint="eastAsia" w:ascii="宋体" w:hAnsi="宋体"/>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814" w:wrap="around" w:vAnchor="text" w:hAnchor="margin" w:xAlign="outside" w:y="1"/>
      <w:jc w:val="center"/>
      <w:rPr>
        <w:rStyle w:val="5"/>
        <w:rFonts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99</w:t>
    </w:r>
    <w:r>
      <w:rPr>
        <w:rStyle w:val="5"/>
        <w:rFonts w:ascii="宋体" w:hAnsi="宋体"/>
        <w:sz w:val="28"/>
        <w:szCs w:val="28"/>
      </w:rPr>
      <w:fldChar w:fldCharType="end"/>
    </w:r>
    <w:r>
      <w:rPr>
        <w:rStyle w:val="5"/>
        <w:rFonts w:hint="eastAsia" w:ascii="宋体" w:hAnsi="宋体"/>
        <w:sz w:val="28"/>
        <w:szCs w:val="28"/>
      </w:rPr>
      <w:t xml:space="preserve"> －</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814" w:wrap="around" w:vAnchor="text" w:hAnchor="margin" w:xAlign="outside" w:y="1"/>
      <w:jc w:val="center"/>
      <w:rPr>
        <w:rStyle w:val="5"/>
        <w:rFonts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100</w:t>
    </w:r>
    <w:r>
      <w:rPr>
        <w:rStyle w:val="5"/>
        <w:rFonts w:ascii="宋体" w:hAnsi="宋体"/>
        <w:sz w:val="28"/>
        <w:szCs w:val="28"/>
      </w:rPr>
      <w:fldChar w:fldCharType="end"/>
    </w:r>
    <w:r>
      <w:rPr>
        <w:rStyle w:val="5"/>
        <w:rFonts w:hint="eastAsia" w:ascii="宋体" w:hAnsi="宋体"/>
        <w:sz w:val="28"/>
        <w:szCs w:val="28"/>
      </w:rPr>
      <w:t xml:space="preserve"> －</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b/>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dit="readOnly" w:formatting="1" w:enforcement="1" w:cryptProviderType="rsaFull" w:cryptAlgorithmClass="hash" w:cryptAlgorithmType="typeAny" w:cryptAlgorithmSid="4" w:cryptSpinCount="0" w:hash="Q/zxgV9yRjkp0d7EX6wmfV4MzZo=" w:salt="WZRRZaC6lmF2LIRj4TIiI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ZThjNGJjMWZlMDk3YjhiMGUxMzVjZDI3M2FkMmEifQ=="/>
  </w:docVars>
  <w:rsids>
    <w:rsidRoot w:val="25354C80"/>
    <w:rsid w:val="2535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2023-08-15T07:13:00Z</dcterms:created>
  <dc:creator>万事芬达</dc:creator>
  <cp:lastModifiedBy>万事芬达</cp:lastModifiedBy>
  <dcterms:modified xsi:type="dcterms:W3CDTF">2023-08-15T07:16:55Z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CF2EC4C8E4B7427F9E3F15398C74FB74_11</vt:lpwstr>
  </property>
</Properties>
</file>