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default" w:ascii="Times New Roman" w:hAnsi="Times New Roman" w:eastAsia="华文中宋" w:cs="Times New Roman"/>
          <w:b/>
          <w:sz w:val="44"/>
          <w:szCs w:val="44"/>
          <w:lang w:eastAsia="zh-CN"/>
        </w:rPr>
        <w:t>乡村事务中心</w:t>
      </w:r>
      <w:r>
        <w:rPr>
          <w:rFonts w:hint="default" w:ascii="Times New Roman" w:hAnsi="Times New Roman" w:eastAsia="华文中宋" w:cs="Times New Roman"/>
          <w:b/>
          <w:sz w:val="44"/>
          <w:szCs w:val="44"/>
        </w:rPr>
        <w:t>2024年</w:t>
      </w: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部门预算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44"/>
          <w:szCs w:val="44"/>
        </w:r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2024年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pPr>
        <w:rPr>
          <w:rFonts w:hint="default" w:ascii="Times New Roman" w:hAnsi="Times New Roman" w:cs="Times New Roman"/>
        </w:rPr>
      </w:pPr>
    </w:p>
    <w:p>
      <w:pPr>
        <w:rPr>
          <w:rFonts w:hint="default" w:ascii="Times New Roman" w:hAnsi="Times New Roman" w:cs="Times New Roman"/>
        </w:r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目录</w:t>
      </w:r>
    </w:p>
    <w:p>
      <w:pPr>
        <w:rPr>
          <w:rFonts w:hint="default" w:ascii="Times New Roman" w:hAnsi="Times New Roman" w:cs="Times New Roman"/>
        </w:rPr>
      </w:pP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第一部分部门（单位）概况</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2、部门（单位）预算构成</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3、2024年度主要工作任务</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第二部分2024年部门（单位）预算表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2024年收入总表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2024年支出总表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2024年财政拨款收支总表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2024年一般公共预算支出表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2024年一般公共预算基本支出表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2024年政府性基金预算支出表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2024年国有资本经营预算支出表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2024年项目支出表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2024年政府采购支出表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2024年政府购买服务支出表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2024年通用资产配置支出表</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第三部分2024年部门（单位）预算情况说明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第四部分名词解释</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第五部分其它公开事项</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2024年部门预算纳入绩效考评项目表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bCs/>
          <w:sz w:val="32"/>
          <w:szCs w:val="32"/>
        </w:rPr>
        <w:t>2024年部门预算专项资金管理清单（专栏公开）</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第一部分部门（单位）概况</w:t>
      </w:r>
    </w:p>
    <w:p>
      <w:pPr>
        <w:rPr>
          <w:rFonts w:hint="default" w:ascii="Times New Roman" w:hAnsi="Times New Roman" w:cs="Times New Roman"/>
        </w:rPr>
      </w:pP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根据市委编委《关于深化农业领域综合执法改革涉及机构编制事项调整的通知》（淮编〔2019〕21号）文件规定，淮北市乡村事务中心主要职责是：</w:t>
      </w:r>
      <w:r>
        <w:rPr>
          <w:rFonts w:hint="default" w:ascii="Times New Roman" w:hAnsi="Times New Roman" w:eastAsia="仿宋_GB2312" w:cs="Times New Roman"/>
          <w:kern w:val="0"/>
          <w:sz w:val="32"/>
          <w:szCs w:val="32"/>
        </w:rPr>
        <w:t>主要负责推动乡村集体经济发展、农村社会事务发展、公共服务体系建设和基础设施建设，改善全市农村人居环境；做好农田水利建设相关工作；组织农业生态环境因素调查、检测和评估；开展全市农业环境和农业生物资源保护、化肥农药等农业投入品检测、农牧生产废弃物综合利用、科技信息服务等工作。</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二、部门（单位）预算构成</w:t>
      </w:r>
    </w:p>
    <w:p>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乡村事务中心</w:t>
      </w:r>
      <w:r>
        <w:rPr>
          <w:rFonts w:hint="default" w:ascii="Times New Roman" w:hAnsi="Times New Roman" w:eastAsia="仿宋_GB2312" w:cs="Times New Roman"/>
          <w:sz w:val="32"/>
          <w:szCs w:val="32"/>
        </w:rPr>
        <w:t>2024年度部门预算仅包括</w:t>
      </w:r>
      <w:r>
        <w:rPr>
          <w:rFonts w:hint="default" w:ascii="Times New Roman" w:hAnsi="Times New Roman" w:eastAsia="仿宋_GB2312" w:cs="Times New Roman"/>
          <w:sz w:val="32"/>
          <w:szCs w:val="32"/>
          <w:lang w:eastAsia="zh-CN"/>
        </w:rPr>
        <w:t>乡村事务中心</w:t>
      </w:r>
      <w:r>
        <w:rPr>
          <w:rFonts w:hint="default" w:ascii="Times New Roman" w:hAnsi="Times New Roman" w:eastAsia="仿宋_GB2312" w:cs="Times New Roman"/>
          <w:sz w:val="32"/>
          <w:szCs w:val="32"/>
        </w:rPr>
        <w:t>本级预算，无其他下属单位预算。</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三、2024年度主要工作任务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w:t>
      </w:r>
      <w:r>
        <w:rPr>
          <w:rFonts w:hint="default" w:ascii="Times New Roman" w:hAnsi="Times New Roman" w:eastAsia="方正仿宋_GB2312" w:cs="Times New Roman"/>
          <w:b/>
          <w:bCs/>
          <w:sz w:val="32"/>
          <w:szCs w:val="32"/>
          <w:lang w:eastAsia="zh-CN"/>
        </w:rPr>
        <w:t>加快落实“千村引领、万村升级”工</w:t>
      </w:r>
      <w:r>
        <w:rPr>
          <w:rFonts w:hint="default" w:ascii="Times New Roman" w:hAnsi="Times New Roman" w:eastAsia="楷体_GB2312" w:cs="Times New Roman"/>
          <w:b/>
          <w:sz w:val="32"/>
          <w:szCs w:val="32"/>
        </w:rPr>
        <w:t>程。</w:t>
      </w:r>
      <w:r>
        <w:rPr>
          <w:rFonts w:hint="default" w:ascii="Times New Roman" w:hAnsi="Times New Roman" w:eastAsia="仿宋_GB2312" w:cs="Times New Roman"/>
          <w:sz w:val="32"/>
          <w:szCs w:val="32"/>
        </w:rPr>
        <w:t>务实推动“1+6+N”政策体系落地，建立包保联系制度，健全调度考核机制，序时推进2023年度6个精品示范村和36个中心村建设，启动开展2024年度8个以上精品示范村和31个以上中心村建设，创建192个美丽宜居自然村庄，争创一批省级以上美丽宜居村庄，完成农村卫生厕所改造提升5900户以上，建设彰显山水风韵、田园风光的宜居宜业和美乡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bCs/>
          <w:sz w:val="32"/>
          <w:szCs w:val="32"/>
          <w:lang w:val="en-US" w:eastAsia="zh-CN"/>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b/>
          <w:bCs/>
          <w:sz w:val="32"/>
          <w:szCs w:val="32"/>
        </w:rPr>
        <w:t>抓好农村生态能源环保工作。</w:t>
      </w:r>
      <w:r>
        <w:rPr>
          <w:rFonts w:hint="default" w:ascii="Times New Roman" w:hAnsi="Times New Roman" w:eastAsia="方正仿宋_GB2312" w:cs="Times New Roman"/>
          <w:b/>
          <w:bCs/>
          <w:sz w:val="32"/>
          <w:szCs w:val="32"/>
        </w:rPr>
        <w:t>一是推动秸秆综合利用结构优化和效益双提升。</w:t>
      </w:r>
      <w:r>
        <w:rPr>
          <w:rFonts w:hint="default" w:ascii="Times New Roman" w:hAnsi="Times New Roman" w:eastAsia="仿宋_GB2312" w:cs="Times New Roman"/>
          <w:sz w:val="32"/>
          <w:szCs w:val="32"/>
        </w:rPr>
        <w:t>加强奖补政策宣传，大力推广龙头企业带动的产业化利用模式，着力提高产业化利用占比，确保秸秆综合利用率达到92%以上</w:t>
      </w:r>
      <w:r>
        <w:rPr>
          <w:rFonts w:hint="default" w:ascii="Times New Roman" w:hAnsi="Times New Roman" w:eastAsia="仿宋_GB2312" w:cs="Times New Roman"/>
          <w:sz w:val="32"/>
          <w:szCs w:val="32"/>
          <w:lang w:val="en-US" w:eastAsia="zh-CN"/>
        </w:rPr>
        <w:t>；推动2023安徽秸秆博览会重点签约项目的落地建设</w:t>
      </w:r>
      <w:r>
        <w:rPr>
          <w:rFonts w:hint="default" w:ascii="Times New Roman" w:hAnsi="Times New Roman" w:eastAsia="仿宋_GB2312" w:cs="Times New Roman"/>
          <w:sz w:val="32"/>
          <w:szCs w:val="32"/>
        </w:rPr>
        <w:t>。</w:t>
      </w:r>
      <w:r>
        <w:rPr>
          <w:rFonts w:hint="default" w:ascii="Times New Roman" w:hAnsi="Times New Roman" w:eastAsia="方正仿宋_GB2312" w:cs="Times New Roman"/>
          <w:b/>
          <w:bCs/>
          <w:sz w:val="32"/>
          <w:szCs w:val="32"/>
        </w:rPr>
        <w:t>二是推进农药包装物废弃物、废弃农膜回收利用。</w:t>
      </w:r>
      <w:r>
        <w:rPr>
          <w:rFonts w:hint="default" w:ascii="Times New Roman" w:hAnsi="Times New Roman" w:eastAsia="仿宋_GB2312" w:cs="Times New Roman"/>
          <w:sz w:val="32"/>
          <w:szCs w:val="32"/>
        </w:rPr>
        <w:t>确保农药包装农膜回收、废弃农膜回收利用率达到8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%以上。</w:t>
      </w:r>
      <w:r>
        <w:rPr>
          <w:rFonts w:hint="default" w:ascii="Times New Roman" w:hAnsi="Times New Roman" w:eastAsia="方正仿宋_GB2312" w:cs="Times New Roman"/>
          <w:b/>
          <w:bCs/>
          <w:sz w:val="32"/>
          <w:szCs w:val="32"/>
          <w:lang w:val="en-US" w:eastAsia="zh-CN"/>
        </w:rPr>
        <w:t>三是开展外来入侵物种普查和数据汇交。</w:t>
      </w:r>
      <w:r>
        <w:rPr>
          <w:rFonts w:hint="default" w:ascii="Times New Roman" w:hAnsi="Times New Roman" w:eastAsia="仿宋_GB2312" w:cs="Times New Roman"/>
          <w:sz w:val="32"/>
          <w:szCs w:val="32"/>
          <w:lang w:val="en-US" w:eastAsia="zh-CN"/>
        </w:rPr>
        <w:t>组织专项行动，加强对“加拿大一枝黄花”的防控和清除。</w:t>
      </w:r>
      <w:r>
        <w:rPr>
          <w:rFonts w:hint="default" w:ascii="Times New Roman" w:hAnsi="Times New Roman" w:eastAsia="方正仿宋_GB2312" w:cs="Times New Roman"/>
          <w:b/>
          <w:bCs/>
          <w:sz w:val="32"/>
          <w:szCs w:val="32"/>
          <w:lang w:val="en-US" w:eastAsia="zh-CN"/>
        </w:rPr>
        <w:t>四</w:t>
      </w:r>
      <w:r>
        <w:rPr>
          <w:rFonts w:hint="default" w:ascii="Times New Roman" w:hAnsi="Times New Roman" w:eastAsia="方正仿宋_GB2312" w:cs="Times New Roman"/>
          <w:b/>
          <w:bCs/>
          <w:sz w:val="32"/>
          <w:szCs w:val="32"/>
        </w:rPr>
        <w:t>是</w:t>
      </w:r>
      <w:r>
        <w:rPr>
          <w:rFonts w:hint="default" w:ascii="Times New Roman" w:hAnsi="Times New Roman" w:eastAsia="方正仿宋_GB2312" w:cs="Times New Roman"/>
          <w:b/>
          <w:bCs/>
          <w:sz w:val="32"/>
          <w:szCs w:val="32"/>
          <w:lang w:val="en-US" w:eastAsia="zh-CN"/>
        </w:rPr>
        <w:t>落实</w:t>
      </w:r>
      <w:r>
        <w:rPr>
          <w:rFonts w:hint="default" w:ascii="Times New Roman" w:hAnsi="Times New Roman" w:eastAsia="方正仿宋_GB2312" w:cs="Times New Roman"/>
          <w:b/>
          <w:bCs/>
          <w:sz w:val="32"/>
          <w:szCs w:val="32"/>
        </w:rPr>
        <w:t>省农作物秸秆综合利用现代环保产业示范园区</w:t>
      </w:r>
      <w:r>
        <w:rPr>
          <w:rFonts w:hint="default" w:ascii="Times New Roman" w:hAnsi="Times New Roman" w:eastAsia="方正仿宋_GB2312" w:cs="Times New Roman"/>
          <w:b/>
          <w:bCs/>
          <w:sz w:val="32"/>
          <w:szCs w:val="32"/>
          <w:lang w:val="en-US" w:eastAsia="zh-CN"/>
        </w:rPr>
        <w:t>建设</w:t>
      </w:r>
      <w:r>
        <w:rPr>
          <w:rFonts w:hint="default" w:ascii="Times New Roman" w:hAnsi="Times New Roman" w:eastAsia="方正仿宋_GB2312" w:cs="Times New Roman"/>
          <w:b/>
          <w:bCs/>
          <w:sz w:val="32"/>
          <w:szCs w:val="32"/>
        </w:rPr>
        <w:t>。</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cs="Times New Roman"/>
        </w:rPr>
      </w:pPr>
      <w:r>
        <w:rPr>
          <w:rFonts w:hint="default" w:ascii="Times New Roman" w:hAnsi="Times New Roman" w:eastAsia="仿宋_GB2312" w:cs="Times New Roman"/>
          <w:bCs/>
          <w:sz w:val="32"/>
          <w:szCs w:val="32"/>
          <w:highlight w:val="none"/>
          <w:lang w:val="en-US" w:eastAsia="zh-CN"/>
        </w:rPr>
        <w:t>（三）</w:t>
      </w:r>
      <w:r>
        <w:rPr>
          <w:rFonts w:hint="default" w:ascii="Times New Roman" w:hAnsi="Times New Roman" w:eastAsia="楷体_GB2312" w:cs="Times New Roman"/>
          <w:b/>
          <w:bCs/>
          <w:sz w:val="32"/>
          <w:szCs w:val="32"/>
        </w:rPr>
        <w:t>持续夯实乡村经济发展基础。</w:t>
      </w:r>
      <w:r>
        <w:rPr>
          <w:rFonts w:hint="default" w:ascii="Times New Roman" w:hAnsi="Times New Roman" w:eastAsia="仿宋_GB2312" w:cs="Times New Roman"/>
          <w:b/>
          <w:bCs/>
          <w:sz w:val="32"/>
          <w:szCs w:val="32"/>
        </w:rPr>
        <w:t>一是深入实施农村“三变”改革提升工程。</w:t>
      </w:r>
      <w:r>
        <w:rPr>
          <w:rFonts w:hint="default" w:ascii="Times New Roman" w:hAnsi="Times New Roman" w:eastAsia="仿宋_GB2312" w:cs="Times New Roman"/>
          <w:sz w:val="32"/>
          <w:szCs w:val="32"/>
        </w:rPr>
        <w:t>紧抓主体培育、项目建设、产业发展、模式创新等关键环节，健全改革机制、拓宽发展路径、提升质量效益。依托淮北市公共资源交易中心建立农村集体产权交易市场，在公共资源交易平台新增农村产权模块。开展“三变”改革的村（社区）316个，占比100%。开展“三变”改革市场主体联营行动试点的村175个，项目共计110个。</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b/>
          <w:bCs/>
          <w:sz w:val="32"/>
          <w:szCs w:val="32"/>
        </w:rPr>
        <w:t>持续推进村级集体经济发展。</w:t>
      </w:r>
      <w:r>
        <w:rPr>
          <w:rFonts w:hint="default" w:ascii="Times New Roman" w:hAnsi="Times New Roman" w:eastAsia="仿宋_GB2312" w:cs="Times New Roman"/>
          <w:bCs/>
          <w:sz w:val="32"/>
          <w:szCs w:val="32"/>
        </w:rPr>
        <w:t>实施“百村示范”工程，</w:t>
      </w:r>
      <w:r>
        <w:rPr>
          <w:rFonts w:hint="default" w:ascii="Times New Roman" w:hAnsi="Times New Roman" w:eastAsia="仿宋_GB2312" w:cs="Times New Roman"/>
          <w:bCs/>
          <w:sz w:val="32"/>
          <w:szCs w:val="32"/>
          <w:lang w:eastAsia="zh-CN"/>
        </w:rPr>
        <w:t>全市</w:t>
      </w:r>
      <w:r>
        <w:rPr>
          <w:rFonts w:hint="default" w:ascii="Times New Roman" w:hAnsi="Times New Roman" w:eastAsia="仿宋_GB2312" w:cs="Times New Roman"/>
          <w:bCs/>
          <w:sz w:val="32"/>
          <w:szCs w:val="32"/>
        </w:rPr>
        <w:t>安排扶持村</w:t>
      </w:r>
      <w:r>
        <w:rPr>
          <w:rFonts w:hint="default" w:ascii="Times New Roman" w:hAnsi="Times New Roman" w:eastAsia="仿宋_GB2312" w:cs="Times New Roman"/>
          <w:bCs/>
          <w:sz w:val="32"/>
          <w:szCs w:val="32"/>
          <w:lang w:val="en-US" w:eastAsia="zh-CN"/>
        </w:rPr>
        <w:t>45</w:t>
      </w:r>
      <w:r>
        <w:rPr>
          <w:rFonts w:hint="default" w:ascii="Times New Roman" w:hAnsi="Times New Roman" w:eastAsia="仿宋_GB2312" w:cs="Times New Roman"/>
          <w:bCs/>
          <w:sz w:val="32"/>
          <w:szCs w:val="32"/>
        </w:rPr>
        <w:t>个左右；加强农村集体三资监管，</w:t>
      </w:r>
      <w:r>
        <w:rPr>
          <w:rFonts w:hint="default" w:ascii="Times New Roman" w:hAnsi="Times New Roman" w:eastAsia="仿宋_GB2312" w:cs="Times New Roman"/>
          <w:bCs/>
          <w:sz w:val="32"/>
          <w:szCs w:val="32"/>
          <w:lang w:eastAsia="zh-CN"/>
        </w:rPr>
        <w:t>组织村集体经济组织审计，巩固</w:t>
      </w:r>
      <w:r>
        <w:rPr>
          <w:rFonts w:hint="default" w:ascii="Times New Roman" w:hAnsi="Times New Roman" w:eastAsia="仿宋_GB2312" w:cs="Times New Roman"/>
          <w:color w:val="auto"/>
          <w:sz w:val="32"/>
          <w:szCs w:val="32"/>
          <w:highlight w:val="none"/>
          <w:shd w:val="clear" w:color="auto" w:fill="auto"/>
          <w:lang w:val="en-US" w:eastAsia="zh-CN"/>
        </w:rPr>
        <w:t>村社账务分设</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三是推进省级农村改革试验区任务</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Cs/>
          <w:sz w:val="32"/>
          <w:szCs w:val="32"/>
        </w:rPr>
        <w:t>序时推进党支部引领合作社工作，进一步健全完善合作社运行机制，总结重点村发展经验和发展模式。</w:t>
      </w:r>
      <w:r>
        <w:rPr>
          <w:rFonts w:hint="default" w:ascii="Times New Roman" w:hAnsi="Times New Roman" w:eastAsia="仿宋_GB2312" w:cs="Times New Roman"/>
          <w:b/>
          <w:bCs/>
          <w:sz w:val="32"/>
          <w:szCs w:val="32"/>
        </w:rPr>
        <w:t>四是</w:t>
      </w:r>
      <w:r>
        <w:rPr>
          <w:rFonts w:hint="eastAsia" w:ascii="仿宋_GB2312" w:hAnsi="仿宋_GB2312" w:eastAsia="仿宋_GB2312" w:cs="仿宋_GB2312"/>
          <w:b/>
          <w:sz w:val="32"/>
          <w:szCs w:val="32"/>
        </w:rPr>
        <w:t>深化“大托管”服务改革。</w:t>
      </w:r>
      <w:r>
        <w:rPr>
          <w:rFonts w:hint="default" w:ascii="Times New Roman" w:hAnsi="Times New Roman" w:eastAsia="仿宋_GB2312" w:cs="Times New Roman"/>
          <w:bCs/>
          <w:sz w:val="32"/>
          <w:szCs w:val="32"/>
        </w:rPr>
        <w:t>结合中央财政农业生产社会化服务项目和党支部引领合作社发展工作，扎实开展农业生产“大托管”工作。</w:t>
      </w:r>
      <w:r>
        <w:rPr>
          <w:rFonts w:hint="default" w:ascii="Times New Roman" w:hAnsi="Times New Roman" w:eastAsia="仿宋_GB2312" w:cs="Times New Roman"/>
          <w:b/>
          <w:bCs/>
          <w:sz w:val="32"/>
          <w:szCs w:val="32"/>
        </w:rPr>
        <w:t>五是巩固完善村（居）民委员会与村集体经济组织账务分管工作成果。</w:t>
      </w:r>
      <w:r>
        <w:rPr>
          <w:rFonts w:hint="default" w:ascii="Times New Roman" w:hAnsi="Times New Roman" w:eastAsia="仿宋_GB2312" w:cs="Times New Roman"/>
          <w:color w:val="auto"/>
          <w:sz w:val="32"/>
          <w:szCs w:val="32"/>
          <w:highlight w:val="none"/>
          <w:shd w:val="clear" w:color="auto" w:fill="auto"/>
          <w:lang w:val="en-US" w:eastAsia="zh-CN"/>
        </w:rPr>
        <w:t>317个村集体经济组织（含1个组级）已实行了村社账务分设。下一步将继续</w:t>
      </w:r>
      <w:r>
        <w:rPr>
          <w:rFonts w:hint="default" w:ascii="Times New Roman" w:hAnsi="Times New Roman" w:eastAsia="仿宋_GB2312" w:cs="Times New Roman"/>
          <w:sz w:val="32"/>
          <w:szCs w:val="32"/>
        </w:rPr>
        <w:t>推进村（居）民委员会与村集体经济组织账务分管的纸质材料归档。推进落实分账后村集体经济组织银行卡开设及使用情况。</w:t>
      </w:r>
    </w:p>
    <w:p>
      <w:pPr>
        <w:numPr>
          <w:ilvl w:val="0"/>
          <w:numId w:val="0"/>
        </w:numPr>
        <w:ind w:firstLine="643" w:firstLineChars="200"/>
        <w:rPr>
          <w:rFonts w:hint="default" w:ascii="Times New Roman" w:hAnsi="Times New Roman" w:eastAsia="仿宋_GB2312" w:cs="Times New Roman"/>
          <w:b/>
          <w:bCs/>
          <w:strike w:val="0"/>
          <w:dstrike w:val="0"/>
          <w:sz w:val="32"/>
          <w:szCs w:val="32"/>
          <w:lang w:val="en-US" w:eastAsia="zh-CN"/>
        </w:rPr>
      </w:pPr>
      <w:bookmarkStart w:id="0" w:name="_GoBack"/>
      <w:bookmarkEnd w:id="0"/>
    </w:p>
    <w:p>
      <w:pPr>
        <w:pStyle w:val="4"/>
        <w:adjustRightInd w:val="0"/>
        <w:snapToGrid w:val="0"/>
        <w:spacing w:line="560" w:lineRule="exact"/>
        <w:ind w:firstLine="1440" w:firstLineChars="400"/>
        <w:jc w:val="both"/>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第二部分2024年部门（单位）预算表</w:t>
      </w:r>
    </w:p>
    <w:p>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pPr>
        <w:rPr>
          <w:rFonts w:hint="default" w:ascii="Times New Roman" w:hAnsi="Times New Roman" w:cs="Times New Roman" w:eastAsiaTheme="minorEastAsia"/>
          <w:lang w:eastAsia="zh-CN"/>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第三部分2024年部门（单位）预算情况说明</w:t>
      </w:r>
    </w:p>
    <w:p>
      <w:pPr>
        <w:rPr>
          <w:rFonts w:hint="default" w:ascii="Times New Roman" w:hAnsi="Times New Roman" w:cs="Times New Roman"/>
        </w:rPr>
      </w:pP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pPr>
        <w:pStyle w:val="4"/>
        <w:adjustRightInd w:val="0"/>
        <w:snapToGrid w:val="0"/>
        <w:spacing w:line="560" w:lineRule="exact"/>
        <w:ind w:firstLine="627" w:firstLineChars="196"/>
        <w:rPr>
          <w:rFonts w:hint="default" w:ascii="Times New Roman" w:hAnsi="Times New Roman" w:eastAsia="楷体_GB2312" w:cs="Times New Roman"/>
          <w:color w:val="FF0000"/>
          <w:sz w:val="32"/>
          <w:szCs w:val="32"/>
          <w:lang w:eastAsia="zh-CN"/>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eastAsia="zh-CN"/>
        </w:rPr>
        <w:t>乡村事务中心</w:t>
      </w:r>
      <w:r>
        <w:rPr>
          <w:rFonts w:hint="default" w:ascii="Times New Roman" w:hAnsi="Times New Roman" w:eastAsia="仿宋_GB2312" w:cs="Times New Roman"/>
          <w:sz w:val="32"/>
          <w:szCs w:val="32"/>
        </w:rPr>
        <w:t>所有收入和支出均纳入部门预算管理。淮北市</w:t>
      </w:r>
      <w:r>
        <w:rPr>
          <w:rFonts w:hint="default" w:ascii="Times New Roman" w:hAnsi="Times New Roman" w:eastAsia="仿宋_GB2312" w:cs="Times New Roman"/>
          <w:sz w:val="32"/>
          <w:szCs w:val="32"/>
          <w:lang w:eastAsia="zh-CN"/>
        </w:rPr>
        <w:t>乡村事务中心</w:t>
      </w:r>
      <w:r>
        <w:rPr>
          <w:rFonts w:hint="default" w:ascii="Times New Roman" w:hAnsi="Times New Roman" w:eastAsia="仿宋_GB2312" w:cs="Times New Roman"/>
          <w:sz w:val="32"/>
          <w:szCs w:val="32"/>
        </w:rPr>
        <w:t>2024年收支总预算</w:t>
      </w:r>
      <w:r>
        <w:rPr>
          <w:rFonts w:hint="default" w:ascii="Times New Roman" w:hAnsi="Times New Roman" w:eastAsia="仿宋_GB2312" w:cs="Times New Roman"/>
          <w:sz w:val="32"/>
          <w:szCs w:val="32"/>
          <w:lang w:val="en-US" w:eastAsia="zh-CN"/>
        </w:rPr>
        <w:t>212.46</w:t>
      </w:r>
      <w:r>
        <w:rPr>
          <w:rFonts w:hint="default" w:ascii="Times New Roman" w:hAnsi="Times New Roman" w:eastAsia="仿宋_GB2312" w:cs="Times New Roman"/>
          <w:sz w:val="32"/>
          <w:szCs w:val="32"/>
        </w:rPr>
        <w:t>万元，收入全部是一般公共预算拨款收入，支出包括：社会保障和就业支出、卫生健康支出、农林水支出、住房保障支出。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二、关于2024年收入总表的说明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2024年收入预算</w:t>
      </w:r>
      <w:r>
        <w:rPr>
          <w:rFonts w:hint="default" w:ascii="Times New Roman" w:hAnsi="Times New Roman" w:eastAsia="仿宋_GB2312" w:cs="Times New Roman"/>
          <w:kern w:val="0"/>
          <w:sz w:val="32"/>
          <w:szCs w:val="32"/>
          <w:lang w:val="en-US" w:eastAsia="zh-CN"/>
        </w:rPr>
        <w:t>212.46</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212.46</w:t>
      </w:r>
      <w:r>
        <w:rPr>
          <w:rFonts w:hint="default" w:ascii="Times New Roman" w:hAnsi="Times New Roman" w:eastAsia="仿宋_GB2312" w:cs="Times New Roman"/>
          <w:kern w:val="0"/>
          <w:sz w:val="32"/>
          <w:szCs w:val="32"/>
        </w:rPr>
        <w:t>万元。</w:t>
      </w:r>
    </w:p>
    <w:p>
      <w:pPr>
        <w:ind w:firstLine="643"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b/>
          <w:kern w:val="0"/>
          <w:sz w:val="32"/>
          <w:szCs w:val="32"/>
          <w:lang w:val="en-US" w:eastAsia="zh-CN"/>
        </w:rPr>
        <w:t>212.46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212.46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%，比2023年预算减少</w:t>
      </w:r>
      <w:r>
        <w:rPr>
          <w:rFonts w:hint="default" w:ascii="Times New Roman" w:hAnsi="Times New Roman" w:eastAsia="仿宋_GB2312" w:cs="Times New Roman"/>
          <w:kern w:val="0"/>
          <w:sz w:val="32"/>
          <w:szCs w:val="32"/>
          <w:lang w:val="en-US" w:eastAsia="zh-CN"/>
        </w:rPr>
        <w:t>32.34</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13.21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项目资金减少。</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2024年支出预算</w:t>
      </w:r>
      <w:r>
        <w:rPr>
          <w:rFonts w:hint="default" w:ascii="Times New Roman" w:hAnsi="Times New Roman" w:eastAsia="仿宋_GB2312" w:cs="Times New Roman"/>
          <w:kern w:val="0"/>
          <w:sz w:val="32"/>
          <w:szCs w:val="32"/>
          <w:lang w:val="en-US" w:eastAsia="zh-CN"/>
        </w:rPr>
        <w:t>212.46</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32.34</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13.21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项目资金减少</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149.46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70.35</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63</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29.65</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sz w:val="32"/>
          <w:szCs w:val="32"/>
        </w:rPr>
        <w:t>乡村事务工作开展、农村人居环境整治提升</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2024年财政拨款收支预算</w:t>
      </w:r>
      <w:r>
        <w:rPr>
          <w:rFonts w:hint="default" w:ascii="Times New Roman" w:hAnsi="Times New Roman" w:eastAsia="仿宋_GB2312" w:cs="Times New Roman"/>
          <w:kern w:val="0"/>
          <w:sz w:val="32"/>
          <w:szCs w:val="32"/>
          <w:lang w:val="en-US" w:eastAsia="zh-CN"/>
        </w:rPr>
        <w:t>212.46</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kern w:val="0"/>
          <w:sz w:val="32"/>
          <w:szCs w:val="32"/>
          <w:lang w:val="en-US" w:eastAsia="zh-CN"/>
        </w:rPr>
        <w:t>212.46</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212.46</w:t>
      </w:r>
      <w:r>
        <w:rPr>
          <w:rFonts w:hint="default" w:ascii="Times New Roman" w:hAnsi="Times New Roman" w:eastAsia="仿宋_GB2312" w:cs="Times New Roman"/>
          <w:kern w:val="0"/>
          <w:sz w:val="32"/>
          <w:szCs w:val="32"/>
        </w:rPr>
        <w:t>万元。支出按功能分类分为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30.15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14.19</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6.96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3.27</w:t>
      </w:r>
      <w:r>
        <w:rPr>
          <w:rFonts w:hint="default" w:ascii="Times New Roman" w:hAnsi="Times New Roman" w:eastAsia="仿宋_GB2312" w:cs="Times New Roman"/>
          <w:kern w:val="0"/>
          <w:sz w:val="32"/>
          <w:szCs w:val="32"/>
        </w:rPr>
        <w:t>%；农林水支出</w:t>
      </w:r>
      <w:r>
        <w:rPr>
          <w:rFonts w:hint="default" w:ascii="Times New Roman" w:hAnsi="Times New Roman" w:eastAsia="仿宋_GB2312" w:cs="Times New Roman"/>
          <w:kern w:val="0"/>
          <w:sz w:val="32"/>
          <w:szCs w:val="32"/>
          <w:lang w:val="en-US" w:eastAsia="zh-CN"/>
        </w:rPr>
        <w:t>153.39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72.20</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21.96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10.34</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五、关于2024年一般公共预算支出表的说明</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2024年一般公共预算支出</w:t>
      </w:r>
      <w:r>
        <w:rPr>
          <w:rFonts w:hint="default" w:ascii="Times New Roman" w:hAnsi="Times New Roman" w:eastAsia="仿宋_GB2312" w:cs="Times New Roman"/>
          <w:kern w:val="0"/>
          <w:sz w:val="32"/>
          <w:szCs w:val="32"/>
          <w:lang w:val="en-US" w:eastAsia="zh-CN"/>
        </w:rPr>
        <w:t>212.46</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32.34</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13.21</w:t>
      </w:r>
      <w:r>
        <w:rPr>
          <w:rFonts w:hint="default" w:ascii="Times New Roman" w:hAnsi="Times New Roman" w:eastAsia="仿宋_GB2312" w:cs="Times New Roman"/>
          <w:kern w:val="0"/>
          <w:sz w:val="32"/>
          <w:szCs w:val="32"/>
        </w:rPr>
        <w:t>%，主要原因：</w:t>
      </w:r>
      <w:r>
        <w:rPr>
          <w:rFonts w:hint="default" w:ascii="Times New Roman" w:hAnsi="Times New Roman" w:eastAsia="仿宋_GB2312" w:cs="Times New Roman"/>
          <w:kern w:val="0"/>
          <w:sz w:val="32"/>
          <w:szCs w:val="32"/>
          <w:lang w:eastAsia="zh-CN"/>
        </w:rPr>
        <w:t>项目资金减少</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30.15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14.19</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6.96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3.27</w:t>
      </w:r>
      <w:r>
        <w:rPr>
          <w:rFonts w:hint="default" w:ascii="Times New Roman" w:hAnsi="Times New Roman" w:eastAsia="仿宋_GB2312" w:cs="Times New Roman"/>
          <w:kern w:val="0"/>
          <w:sz w:val="32"/>
          <w:szCs w:val="32"/>
        </w:rPr>
        <w:t>%；农林水支出</w:t>
      </w:r>
      <w:r>
        <w:rPr>
          <w:rFonts w:hint="default" w:ascii="Times New Roman" w:hAnsi="Times New Roman" w:eastAsia="仿宋_GB2312" w:cs="Times New Roman"/>
          <w:kern w:val="0"/>
          <w:sz w:val="32"/>
          <w:szCs w:val="32"/>
          <w:lang w:val="en-US" w:eastAsia="zh-CN"/>
        </w:rPr>
        <w:t>153.39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72.20</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21.96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10.34</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1、社会保障和就业支出（类）行政事业单位离退休（款）归口管理的行政事业单位离退休（项）2024年预算</w:t>
      </w:r>
      <w:r>
        <w:rPr>
          <w:rFonts w:hint="default" w:ascii="Times New Roman" w:hAnsi="Times New Roman" w:eastAsia="仿宋_GB2312" w:cs="Times New Roman"/>
          <w:kern w:val="0"/>
          <w:sz w:val="32"/>
          <w:szCs w:val="32"/>
          <w:lang w:val="en-US" w:eastAsia="zh-CN"/>
        </w:rPr>
        <w:t>11.12</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2.38</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27.23</w:t>
      </w:r>
      <w:r>
        <w:rPr>
          <w:rFonts w:hint="default" w:ascii="Times New Roman" w:hAnsi="Times New Roman" w:eastAsia="仿宋_GB2312" w:cs="Times New Roman"/>
          <w:kern w:val="0"/>
          <w:sz w:val="32"/>
          <w:szCs w:val="32"/>
        </w:rPr>
        <w:t>%，机关事业单位基本养老保险费</w:t>
      </w:r>
      <w:r>
        <w:rPr>
          <w:rFonts w:hint="default" w:ascii="Times New Roman" w:hAnsi="Times New Roman" w:eastAsia="仿宋_GB2312" w:cs="Times New Roman"/>
          <w:kern w:val="0"/>
          <w:sz w:val="32"/>
          <w:szCs w:val="32"/>
          <w:lang w:eastAsia="zh-CN"/>
        </w:rPr>
        <w:t>支出</w:t>
      </w:r>
      <w:r>
        <w:rPr>
          <w:rFonts w:hint="default" w:ascii="Times New Roman" w:hAnsi="Times New Roman" w:eastAsia="仿宋_GB2312" w:cs="Times New Roman"/>
          <w:kern w:val="0"/>
          <w:sz w:val="32"/>
          <w:szCs w:val="32"/>
          <w:lang w:val="en-US" w:eastAsia="zh-CN"/>
        </w:rPr>
        <w:t>（项）</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12.43</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0.7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5.33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机关事业单位职业年金缴费</w:t>
      </w:r>
      <w:r>
        <w:rPr>
          <w:rFonts w:hint="default" w:ascii="Times New Roman" w:hAnsi="Times New Roman" w:eastAsia="仿宋_GB2312" w:cs="Times New Roman"/>
          <w:kern w:val="0"/>
          <w:sz w:val="32"/>
          <w:szCs w:val="32"/>
          <w:lang w:eastAsia="zh-CN"/>
        </w:rPr>
        <w:t>支出</w:t>
      </w:r>
      <w:r>
        <w:rPr>
          <w:rFonts w:hint="default" w:ascii="Times New Roman" w:hAnsi="Times New Roman" w:eastAsia="仿宋_GB2312" w:cs="Times New Roman"/>
          <w:kern w:val="0"/>
          <w:sz w:val="32"/>
          <w:szCs w:val="32"/>
          <w:lang w:val="en-US" w:eastAsia="zh-CN"/>
        </w:rPr>
        <w:t>（项）</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6.21</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0.36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5.48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；其他社会保障和就业支出（款）其他社会保障和就业支出（项）</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0.39</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0.03</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7.14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：增加退休人员基础绩效奖、提租补贴</w:t>
      </w:r>
      <w:r>
        <w:rPr>
          <w:rFonts w:hint="default" w:ascii="Times New Roman" w:hAnsi="Times New Roman" w:eastAsia="仿宋_GB2312" w:cs="Times New Roman"/>
          <w:kern w:val="0"/>
          <w:sz w:val="32"/>
          <w:szCs w:val="32"/>
        </w:rPr>
        <w:t>。</w:t>
      </w:r>
    </w:p>
    <w:p>
      <w:pPr>
        <w:ind w:firstLine="960" w:firstLineChars="3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eastAsia="zh-CN"/>
        </w:rPr>
        <w:t>（类）行政事业单位医疗（款）事业单位医疗（项）</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4.67</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年预算减少</w:t>
      </w:r>
      <w:r>
        <w:rPr>
          <w:rFonts w:hint="default" w:ascii="Times New Roman" w:hAnsi="Times New Roman" w:eastAsia="仿宋_GB2312" w:cs="Times New Roman"/>
          <w:kern w:val="0"/>
          <w:sz w:val="32"/>
          <w:szCs w:val="32"/>
          <w:lang w:val="en-US" w:eastAsia="zh-CN"/>
        </w:rPr>
        <w:t>0.35</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6.97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公务员医疗补助（项）</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2.29</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年预算减少</w:t>
      </w:r>
      <w:r>
        <w:rPr>
          <w:rFonts w:hint="default" w:ascii="Times New Roman" w:hAnsi="Times New Roman" w:eastAsia="仿宋_GB2312" w:cs="Times New Roman"/>
          <w:kern w:val="0"/>
          <w:sz w:val="32"/>
          <w:szCs w:val="32"/>
          <w:lang w:val="en-US" w:eastAsia="zh-CN"/>
        </w:rPr>
        <w:t>0.11</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4.58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：人员调整减少</w:t>
      </w:r>
      <w:r>
        <w:rPr>
          <w:rFonts w:hint="default" w:ascii="Times New Roman" w:hAnsi="Times New Roman" w:eastAsia="仿宋_GB2312" w:cs="Times New Roman"/>
          <w:kern w:val="0"/>
          <w:sz w:val="32"/>
          <w:szCs w:val="32"/>
        </w:rPr>
        <w:t>。</w:t>
      </w:r>
    </w:p>
    <w:p>
      <w:pPr>
        <w:ind w:firstLine="960" w:firstLineChars="3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、农林水支出</w:t>
      </w:r>
      <w:r>
        <w:rPr>
          <w:rFonts w:hint="default" w:ascii="Times New Roman" w:hAnsi="Times New Roman" w:eastAsia="仿宋_GB2312" w:cs="Times New Roman"/>
          <w:kern w:val="0"/>
          <w:sz w:val="32"/>
          <w:szCs w:val="32"/>
          <w:lang w:eastAsia="zh-CN"/>
        </w:rPr>
        <w:t>（类）农业农村（款）事业运行（项）</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153.39</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36.51</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下降</w:t>
      </w:r>
      <w:r>
        <w:rPr>
          <w:rFonts w:hint="default" w:ascii="Times New Roman" w:hAnsi="Times New Roman" w:eastAsia="仿宋_GB2312" w:cs="Times New Roman"/>
          <w:kern w:val="0"/>
          <w:sz w:val="32"/>
          <w:szCs w:val="32"/>
          <w:lang w:val="en-US" w:eastAsia="zh-CN"/>
        </w:rPr>
        <w:t>19.22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项目资金</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w:t>
      </w:r>
    </w:p>
    <w:p>
      <w:pPr>
        <w:ind w:firstLine="960" w:firstLineChars="3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、住房保障支出（类）住房改革支出（款）住房公积金（项）2024年预算</w:t>
      </w:r>
      <w:r>
        <w:rPr>
          <w:rFonts w:hint="default" w:ascii="Times New Roman" w:hAnsi="Times New Roman" w:eastAsia="仿宋_GB2312" w:cs="Times New Roman"/>
          <w:kern w:val="0"/>
          <w:sz w:val="32"/>
          <w:szCs w:val="32"/>
          <w:lang w:val="en-US" w:eastAsia="zh-CN"/>
        </w:rPr>
        <w:t>13.18</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0.05</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0.38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提租补贴（项）</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3.29</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lang w:val="en-US" w:eastAsia="zh-CN"/>
        </w:rPr>
        <w:t>3.29</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。购房补贴（项）</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5.49</w:t>
      </w:r>
      <w:r>
        <w:rPr>
          <w:rFonts w:hint="default" w:ascii="Times New Roman" w:hAnsi="Times New Roman" w:eastAsia="仿宋_GB2312" w:cs="Times New Roman"/>
          <w:kern w:val="0"/>
          <w:sz w:val="32"/>
          <w:szCs w:val="32"/>
        </w:rPr>
        <w:t>万元，比202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年预算增加</w:t>
      </w:r>
      <w:r>
        <w:rPr>
          <w:rFonts w:hint="default" w:ascii="Times New Roman" w:hAnsi="Times New Roman" w:eastAsia="仿宋_GB2312" w:cs="Times New Roman"/>
          <w:kern w:val="0"/>
          <w:sz w:val="32"/>
          <w:szCs w:val="32"/>
          <w:lang w:val="en-US" w:eastAsia="zh-CN"/>
        </w:rPr>
        <w:t>0.02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0.36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提租补贴增加</w:t>
      </w:r>
      <w:r>
        <w:rPr>
          <w:rFonts w:hint="default" w:ascii="Times New Roman" w:hAnsi="Times New Roman" w:eastAsia="仿宋_GB2312" w:cs="Times New Roman"/>
          <w:kern w:val="0"/>
          <w:sz w:val="32"/>
          <w:szCs w:val="32"/>
        </w:rPr>
        <w:t>。</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2024年一般公共预算基本支出</w:t>
      </w:r>
      <w:r>
        <w:rPr>
          <w:rFonts w:hint="default" w:ascii="Times New Roman" w:hAnsi="Times New Roman" w:eastAsia="仿宋_GB2312" w:cs="Times New Roman"/>
          <w:kern w:val="0"/>
          <w:sz w:val="32"/>
          <w:szCs w:val="32"/>
          <w:lang w:val="en-US" w:eastAsia="zh-CN"/>
        </w:rPr>
        <w:t>149.46</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139.86</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9.60</w:t>
      </w:r>
      <w:r>
        <w:rPr>
          <w:rFonts w:hint="default" w:ascii="Times New Roman" w:hAnsi="Times New Roman" w:eastAsia="仿宋_GB2312" w:cs="Times New Roman"/>
          <w:kern w:val="0"/>
          <w:sz w:val="32"/>
          <w:szCs w:val="32"/>
        </w:rPr>
        <w:t>万元。</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139.86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w:t>
      </w:r>
      <w:r>
        <w:rPr>
          <w:rFonts w:hint="default" w:ascii="Times New Roman" w:hAnsi="Times New Roman" w:eastAsia="仿宋_GB2312" w:cs="Times New Roman"/>
          <w:kern w:val="0"/>
          <w:sz w:val="32"/>
          <w:szCs w:val="32"/>
          <w:highlight w:val="none"/>
        </w:rPr>
        <w:t>括</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rPr>
        <w:t>基本工资、津贴补贴、奖金、伙食补助费、绩效工资、机关事业单位基本养老保险费、职业年金缴费、职工基本医疗保险缴费、公务员医疗补助缴费、其他社会保障缴费、办公费、其他商品服务支出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工会经费、福利费、住房公积金、医疗费、退休费、医疗费补助、其他对个人和家庭的补助支出。</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9.6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主要包括：办公费、其他商品服务支出等。</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2024年没有政府性基金预算拨款收入，也没有使用政府性基金预算拨款安排的支出。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2024年没有国有资本经营预算拨款收入，也没有使用国有资本经营预算拨款安排的支出。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2024年预算共安排项目支出</w:t>
      </w:r>
      <w:r>
        <w:rPr>
          <w:rFonts w:hint="default" w:ascii="Times New Roman" w:hAnsi="Times New Roman" w:eastAsia="仿宋_GB2312" w:cs="Times New Roman"/>
          <w:kern w:val="0"/>
          <w:sz w:val="32"/>
          <w:szCs w:val="32"/>
          <w:lang w:val="en-US" w:eastAsia="zh-CN"/>
        </w:rPr>
        <w:t>63</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26</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29.21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项目资金减少</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63</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63</w:t>
      </w:r>
      <w:r>
        <w:rPr>
          <w:rFonts w:hint="default" w:ascii="Times New Roman" w:hAnsi="Times New Roman" w:eastAsia="仿宋_GB2312" w:cs="Times New Roman"/>
          <w:kern w:val="0"/>
          <w:sz w:val="32"/>
          <w:szCs w:val="32"/>
        </w:rPr>
        <w:t>万元）。</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2024年没有使用一般公共预算拨款、政府性基金预算拨款、国有资本经营预算拨款、财政专户管理资金和单位资金安排的政府采购支出。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十一、关于2024年政府购买服务支出表的说明</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2024年没有安排政府购买服务支出。</w:t>
      </w:r>
    </w:p>
    <w:p>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1、“乡村事务业务工作经费”项目。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（1）项目概述。保障乡村事务中心具体工作开展以及相关的日常调度等事项。</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（2）立项依据。中共淮北市委机构编制委员会文件淮编【2019】21号关于深化农业领域综合执法改革及结构编制事项调整的通知</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淮北市乡村事务中心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年1月1日至202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年12月31日</w:t>
      </w:r>
    </w:p>
    <w:p>
      <w:pPr>
        <w:ind w:firstLine="640" w:firstLineChars="200"/>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i w:val="0"/>
          <w:iCs w:val="0"/>
          <w:color w:val="000000"/>
          <w:kern w:val="0"/>
          <w:sz w:val="32"/>
          <w:szCs w:val="32"/>
          <w:u w:val="none"/>
          <w:lang w:val="en-US" w:eastAsia="zh-CN" w:bidi="ar"/>
        </w:rPr>
        <w:t>推动乡村集体经济发展、农村社会事务发展、公共服务体系建设和基础设施建设，改善全市农村人居环境；全市农业环境和农业生物资源保护、化肥农药等农业投入品检测、农牧生产废弃物综合利用、科技信息服务等。推进农村综合改革，加强乡村建设和推动乡村治理；开展农村人居环境整治；保障完成农村改厕任务，农村改厕管护服务体系进一步完善；完成美丽宜居自然村庄创建任务。提高广大群众对农村能源的认识，加强节约能源的意识，有效促进生态循环改善、农民增收和农业可持续发展。减少病虫害的产生，农牧生产废弃物综合利用，大力发展秸秆综合利用。建立健全长效管护机制。</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38万元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60"/>
        <w:gridCol w:w="1109"/>
        <w:gridCol w:w="101"/>
        <w:gridCol w:w="2567"/>
        <w:gridCol w:w="1188"/>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689" w:type="dxa"/>
            <w:gridSpan w:val="7"/>
            <w:tcBorders>
              <w:top w:val="nil"/>
              <w:left w:val="nil"/>
              <w:bottom w:val="nil"/>
              <w:right w:val="nil"/>
            </w:tcBorders>
            <w:vAlign w:val="center"/>
          </w:tcPr>
          <w:p>
            <w:pPr>
              <w:keepNext w:val="0"/>
              <w:keepLines w:val="0"/>
              <w:widowControl/>
              <w:suppressLineNumbers w:val="0"/>
              <w:jc w:val="center"/>
              <w:textAlignment w:val="center"/>
              <w:rPr>
                <w:rFonts w:hint="default" w:ascii="Times New Roman" w:hAnsi="Times New Roman" w:cs="Times New Roman"/>
                <w:b/>
                <w:bCs/>
                <w:szCs w:val="32"/>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89" w:type="dxa"/>
            <w:gridSpan w:val="7"/>
            <w:tcBorders>
              <w:top w:val="nil"/>
              <w:left w:val="nil"/>
              <w:right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6526" w:type="dxa"/>
            <w:gridSpan w:val="4"/>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乡村事务业务工作经费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63" w:type="dxa"/>
            <w:gridSpan w:val="3"/>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66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sz w:val="20"/>
                <w:lang w:eastAsia="zh-CN"/>
              </w:rPr>
            </w:pPr>
            <w:r>
              <w:rPr>
                <w:rFonts w:hint="default" w:ascii="Times New Roman" w:hAnsi="Times New Roman" w:eastAsia="宋体" w:cs="Times New Roman"/>
                <w:i w:val="0"/>
                <w:iCs w:val="0"/>
                <w:color w:val="000000"/>
                <w:kern w:val="0"/>
                <w:sz w:val="20"/>
                <w:szCs w:val="20"/>
                <w:u w:val="none"/>
                <w:lang w:val="en-US" w:eastAsia="zh-CN" w:bidi="ar"/>
              </w:rPr>
              <w:t>淮北市农业农村局</w:t>
            </w:r>
          </w:p>
        </w:tc>
        <w:tc>
          <w:tcPr>
            <w:tcW w:w="1188"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67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lang w:eastAsia="zh-CN"/>
              </w:rPr>
            </w:pPr>
            <w:r>
              <w:rPr>
                <w:rFonts w:hint="default" w:ascii="Times New Roman" w:hAnsi="Times New Roman" w:eastAsia="宋体" w:cs="Times New Roman"/>
                <w:i w:val="0"/>
                <w:iCs w:val="0"/>
                <w:color w:val="000000"/>
                <w:kern w:val="0"/>
                <w:sz w:val="20"/>
                <w:szCs w:val="20"/>
                <w:u w:val="none"/>
                <w:lang w:val="en-US" w:eastAsia="zh-CN" w:bidi="ar"/>
              </w:rPr>
              <w:t>淮北市乡村事务中心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66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sz w:val="20"/>
                <w:lang w:eastAsia="zh-CN"/>
              </w:rPr>
            </w:pPr>
            <w:r>
              <w:rPr>
                <w:rFonts w:hint="default" w:ascii="Times New Roman" w:hAnsi="Times New Roman" w:eastAsia="宋体" w:cs="Times New Roman"/>
                <w:i w:val="0"/>
                <w:iCs w:val="0"/>
                <w:color w:val="000000"/>
                <w:kern w:val="0"/>
                <w:sz w:val="20"/>
                <w:szCs w:val="20"/>
                <w:u w:val="none"/>
                <w:lang w:val="en-US" w:eastAsia="zh-CN" w:bidi="ar"/>
              </w:rPr>
              <w:t>财政预算资金</w:t>
            </w:r>
          </w:p>
        </w:tc>
        <w:tc>
          <w:tcPr>
            <w:tcW w:w="1188"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67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lang w:val="en-US" w:eastAsia="zh-CN"/>
              </w:rPr>
            </w:pPr>
            <w:r>
              <w:rPr>
                <w:rStyle w:val="9"/>
                <w:rFonts w:hint="default" w:ascii="Times New Roman" w:hAnsi="Times New Roman" w:eastAsia="宋体" w:cs="Times New Roman"/>
                <w:lang w:val="en-US" w:eastAsia="zh-CN" w:bidi="ar"/>
              </w:rPr>
              <w:t>2024</w:t>
            </w:r>
            <w:r>
              <w:rPr>
                <w:rStyle w:val="10"/>
                <w:rFonts w:hint="default" w:ascii="Times New Roman" w:hAnsi="Times New Roman" w:cs="Times New Roman"/>
                <w:lang w:val="en-US" w:eastAsia="zh-CN" w:bidi="ar"/>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668" w:type="dxa"/>
            <w:gridSpan w:val="2"/>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年度资金总额：</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2668" w:type="dxa"/>
            <w:gridSpan w:val="2"/>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其中：财政拨款</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2668" w:type="dxa"/>
            <w:gridSpan w:val="2"/>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上年结转</w:t>
            </w:r>
          </w:p>
        </w:tc>
        <w:tc>
          <w:tcPr>
            <w:tcW w:w="3858" w:type="dxa"/>
            <w:gridSpan w:val="2"/>
            <w:tcBorders>
              <w:tl2br w:val="nil"/>
              <w:tr2bl w:val="nil"/>
            </w:tcBorders>
            <w:vAlign w:val="center"/>
          </w:tcPr>
          <w:p>
            <w:pPr>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6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2668" w:type="dxa"/>
            <w:gridSpan w:val="2"/>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其他资金</w:t>
            </w:r>
          </w:p>
        </w:tc>
        <w:tc>
          <w:tcPr>
            <w:tcW w:w="3858" w:type="dxa"/>
            <w:gridSpan w:val="2"/>
            <w:tcBorders>
              <w:tl2br w:val="nil"/>
              <w:tr2bl w:val="nil"/>
            </w:tcBorders>
            <w:vAlign w:val="center"/>
          </w:tcPr>
          <w:p>
            <w:pPr>
              <w:jc w:val="right"/>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9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895" w:type="dxa"/>
            <w:gridSpan w:val="6"/>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推动乡村集体经济发展、农村社会事务发展、公共服务体系建设和基础设施建设，改善全市农村人居环境；全市农业环境和农业生物资源保护、化肥农药等农业投入品检测、农牧生产废弃物综合利用、科技信息服务等。推进农村综合改革，加强乡村建设和推动乡村治理；开展农村人居环境整治；保障完成农村改厕任务，农村改厕管护服务体系进一步完善；完成美丽宜居自然村庄创建任务。提高广大群众对农村能源的认识，加强节约能源的意识，有效促进生态循环改善、农民增收和农业可持续发展。减少病虫害的产生，农牧生产废弃物综合利用，大力发展秸秆综合利用。建立健全长效管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4"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6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56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94" w:type="dxa"/>
            <w:vMerge w:val="continue"/>
            <w:tcBorders>
              <w:tl2br w:val="nil"/>
              <w:tr2bl w:val="nil"/>
            </w:tcBorders>
            <w:vAlign w:val="center"/>
          </w:tcPr>
          <w:p>
            <w:pPr>
              <w:jc w:val="center"/>
              <w:rPr>
                <w:rFonts w:hint="default" w:ascii="Times New Roman" w:hAnsi="Times New Roman" w:cs="Times New Roman"/>
                <w:sz w:val="20"/>
              </w:rPr>
            </w:pPr>
          </w:p>
        </w:tc>
        <w:tc>
          <w:tcPr>
            <w:tcW w:w="126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567"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完成乡村事务各项工作</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推动乡村集体经济发展、农村社会事务发展，改善全市农村人居环境；组织农业生态环境因素调查、检测和评估；开展全市农业环境保护。保障完成农村改厕任务，农村改厕管护服务体系进一步完善；完成美丽宜居自然村庄创建任务。全年农作物秸秆还田、肥料化、饲料化、基料化、能源化和原料化等综合利用率达到93％以上；探索发展农民股份合作；组织开展大规模的农民负担日常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94" w:type="dxa"/>
            <w:vMerge w:val="continue"/>
            <w:tcBorders>
              <w:tl2br w:val="nil"/>
              <w:tr2bl w:val="nil"/>
            </w:tcBorders>
            <w:vAlign w:val="center"/>
          </w:tcPr>
          <w:p>
            <w:pPr>
              <w:jc w:val="center"/>
              <w:rPr>
                <w:rFonts w:hint="default" w:ascii="Times New Roman" w:hAnsi="Times New Roman" w:cs="Times New Roman"/>
                <w:sz w:val="20"/>
              </w:rPr>
            </w:pPr>
          </w:p>
        </w:tc>
        <w:tc>
          <w:tcPr>
            <w:tcW w:w="1260" w:type="dxa"/>
            <w:vMerge w:val="continue"/>
            <w:tcBorders>
              <w:tl2br w:val="nil"/>
              <w:tr2bl w:val="nil"/>
            </w:tcBorders>
            <w:vAlign w:val="center"/>
          </w:tcPr>
          <w:p>
            <w:pPr>
              <w:jc w:val="center"/>
              <w:rPr>
                <w:rFonts w:hint="default" w:ascii="Times New Roman" w:hAnsi="Times New Roman" w:cs="Times New Roman"/>
                <w:sz w:val="20"/>
              </w:rPr>
            </w:pP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567"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优良</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94" w:type="dxa"/>
            <w:vMerge w:val="continue"/>
            <w:tcBorders>
              <w:tl2br w:val="nil"/>
              <w:tr2bl w:val="nil"/>
            </w:tcBorders>
            <w:vAlign w:val="center"/>
          </w:tcPr>
          <w:p>
            <w:pPr>
              <w:jc w:val="center"/>
              <w:rPr>
                <w:rFonts w:hint="default" w:ascii="Times New Roman" w:hAnsi="Times New Roman" w:cs="Times New Roman"/>
                <w:sz w:val="20"/>
              </w:rPr>
            </w:pPr>
          </w:p>
        </w:tc>
        <w:tc>
          <w:tcPr>
            <w:tcW w:w="1260" w:type="dxa"/>
            <w:vMerge w:val="continue"/>
            <w:tcBorders>
              <w:tl2br w:val="nil"/>
              <w:tr2bl w:val="nil"/>
            </w:tcBorders>
            <w:vAlign w:val="center"/>
          </w:tcPr>
          <w:p>
            <w:pPr>
              <w:jc w:val="center"/>
              <w:rPr>
                <w:rFonts w:hint="default" w:ascii="Times New Roman" w:hAnsi="Times New Roman" w:cs="Times New Roman"/>
                <w:sz w:val="20"/>
              </w:rPr>
            </w:pP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2567"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按序时进度</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94" w:type="dxa"/>
            <w:vMerge w:val="continue"/>
            <w:tcBorders>
              <w:tl2br w:val="nil"/>
              <w:tr2bl w:val="nil"/>
            </w:tcBorders>
            <w:vAlign w:val="center"/>
          </w:tcPr>
          <w:p>
            <w:pPr>
              <w:jc w:val="center"/>
              <w:rPr>
                <w:rFonts w:hint="default" w:ascii="Times New Roman" w:hAnsi="Times New Roman" w:cs="Times New Roman"/>
                <w:sz w:val="20"/>
              </w:rPr>
            </w:pPr>
          </w:p>
        </w:tc>
        <w:tc>
          <w:tcPr>
            <w:tcW w:w="1260" w:type="dxa"/>
            <w:vMerge w:val="continue"/>
            <w:tcBorders>
              <w:tl2br w:val="nil"/>
              <w:tr2bl w:val="nil"/>
            </w:tcBorders>
            <w:vAlign w:val="center"/>
          </w:tcPr>
          <w:p>
            <w:pPr>
              <w:jc w:val="center"/>
              <w:rPr>
                <w:rFonts w:hint="default" w:ascii="Times New Roman" w:hAnsi="Times New Roman" w:cs="Times New Roman"/>
                <w:sz w:val="20"/>
              </w:rPr>
            </w:pP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2567" w:type="dxa"/>
            <w:tcBorders>
              <w:tl2br w:val="nil"/>
              <w:tr2bl w:val="nil"/>
            </w:tcBorders>
            <w:vAlign w:val="center"/>
          </w:tcPr>
          <w:p>
            <w:pPr>
              <w:jc w:val="left"/>
              <w:rPr>
                <w:rFonts w:hint="default" w:ascii="Times New Roman" w:hAnsi="Times New Roman" w:cs="Times New Roman"/>
                <w:sz w:val="20"/>
              </w:rPr>
            </w:pPr>
          </w:p>
        </w:tc>
        <w:tc>
          <w:tcPr>
            <w:tcW w:w="3858" w:type="dxa"/>
            <w:gridSpan w:val="2"/>
            <w:tcBorders>
              <w:tl2br w:val="nil"/>
              <w:tr2bl w:val="nil"/>
            </w:tcBorders>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94" w:type="dxa"/>
            <w:vMerge w:val="continue"/>
            <w:tcBorders>
              <w:tl2br w:val="nil"/>
              <w:tr2bl w:val="nil"/>
            </w:tcBorders>
            <w:vAlign w:val="center"/>
          </w:tcPr>
          <w:p>
            <w:pPr>
              <w:jc w:val="center"/>
              <w:rPr>
                <w:rFonts w:hint="default" w:ascii="Times New Roman" w:hAnsi="Times New Roman" w:cs="Times New Roman"/>
                <w:sz w:val="20"/>
              </w:rPr>
            </w:pPr>
          </w:p>
        </w:tc>
        <w:tc>
          <w:tcPr>
            <w:tcW w:w="1260"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2567"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是否产生经济效益</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推进农村综合改革，加强乡村建设和推动乡村治理；开展农村人居环境整治；农村基础设施建设和公共服务配套全面提升。完成农村人居环境整治提升年度目标任务。通过农民负担监督管理，维护农村社会稳定，促进农村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94" w:type="dxa"/>
            <w:vMerge w:val="continue"/>
            <w:tcBorders>
              <w:tl2br w:val="nil"/>
              <w:tr2bl w:val="nil"/>
            </w:tcBorders>
            <w:vAlign w:val="center"/>
          </w:tcPr>
          <w:p>
            <w:pPr>
              <w:jc w:val="center"/>
              <w:rPr>
                <w:rFonts w:hint="default" w:ascii="Times New Roman" w:hAnsi="Times New Roman" w:cs="Times New Roman"/>
                <w:sz w:val="20"/>
              </w:rPr>
            </w:pPr>
          </w:p>
        </w:tc>
        <w:tc>
          <w:tcPr>
            <w:tcW w:w="1260" w:type="dxa"/>
            <w:vMerge w:val="continue"/>
            <w:tcBorders>
              <w:tl2br w:val="nil"/>
              <w:tr2bl w:val="nil"/>
            </w:tcBorders>
            <w:vAlign w:val="center"/>
          </w:tcPr>
          <w:p>
            <w:pPr>
              <w:jc w:val="center"/>
              <w:rPr>
                <w:rFonts w:hint="default" w:ascii="Times New Roman" w:hAnsi="Times New Roman" w:cs="Times New Roman"/>
                <w:sz w:val="20"/>
              </w:rPr>
            </w:pP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2567"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是否产生社会效益</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推进农村综合改革，加强乡村建设和推动乡村治理；开展农村人居环境整治；塑造文明乡风；建设美好乡村。建立秸秆还田、收集和储运体系，优先安排种植业和养殖业循环利用，基本实现秸秆农业综合利用的目标；逐步构建归属清晰、权能完整、流转顺畅、保护严格的中国特色社会主义农村集体产权制度，建立符合市场经济要求的集体经济运行新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94" w:type="dxa"/>
            <w:vMerge w:val="continue"/>
            <w:tcBorders>
              <w:tl2br w:val="nil"/>
              <w:tr2bl w:val="nil"/>
            </w:tcBorders>
            <w:vAlign w:val="center"/>
          </w:tcPr>
          <w:p>
            <w:pPr>
              <w:jc w:val="center"/>
              <w:rPr>
                <w:rFonts w:hint="default" w:ascii="Times New Roman" w:hAnsi="Times New Roman" w:cs="Times New Roman"/>
                <w:sz w:val="20"/>
              </w:rPr>
            </w:pPr>
          </w:p>
        </w:tc>
        <w:tc>
          <w:tcPr>
            <w:tcW w:w="1260" w:type="dxa"/>
            <w:vMerge w:val="continue"/>
            <w:tcBorders>
              <w:tl2br w:val="nil"/>
              <w:tr2bl w:val="nil"/>
            </w:tcBorders>
            <w:vAlign w:val="center"/>
          </w:tcPr>
          <w:p>
            <w:pPr>
              <w:jc w:val="center"/>
              <w:rPr>
                <w:rFonts w:hint="default" w:ascii="Times New Roman" w:hAnsi="Times New Roman" w:cs="Times New Roman"/>
                <w:sz w:val="20"/>
              </w:rPr>
            </w:pP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汉仪中秀体简"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2567"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能否产生生态效益</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改善农村环境，大力开展秸秆综合利用。改善农村生产、生活、生态环境。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94" w:type="dxa"/>
            <w:vMerge w:val="continue"/>
            <w:tcBorders>
              <w:tl2br w:val="nil"/>
              <w:tr2bl w:val="nil"/>
            </w:tcBorders>
            <w:vAlign w:val="center"/>
          </w:tcPr>
          <w:p>
            <w:pPr>
              <w:jc w:val="center"/>
              <w:rPr>
                <w:rFonts w:hint="default" w:ascii="Times New Roman" w:hAnsi="Times New Roman" w:cs="Times New Roman"/>
                <w:sz w:val="20"/>
              </w:rPr>
            </w:pPr>
          </w:p>
        </w:tc>
        <w:tc>
          <w:tcPr>
            <w:tcW w:w="1260" w:type="dxa"/>
            <w:vMerge w:val="continue"/>
            <w:tcBorders>
              <w:tl2br w:val="nil"/>
              <w:tr2bl w:val="nil"/>
            </w:tcBorders>
            <w:vAlign w:val="center"/>
          </w:tcPr>
          <w:p>
            <w:pPr>
              <w:jc w:val="center"/>
              <w:rPr>
                <w:rFonts w:hint="default" w:ascii="Times New Roman" w:hAnsi="Times New Roman" w:eastAsia="宋体" w:cs="Times New Roman"/>
                <w:sz w:val="20"/>
              </w:rPr>
            </w:pP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2567"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是否产生持续影响</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提高广大群众对农村能源的认识，加强节约能源的意识，改善农村环境，有效促进生态循环改善、农民增收和农业可持续发展。减少病虫害的产生，农牧生产废弃物综合利用，大力发展秸秆综合利用。建立健全长效管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94" w:type="dxa"/>
            <w:vMerge w:val="continue"/>
            <w:tcBorders>
              <w:tl2br w:val="nil"/>
              <w:tr2bl w:val="nil"/>
            </w:tcBorders>
            <w:vAlign w:val="center"/>
          </w:tcPr>
          <w:p>
            <w:pPr>
              <w:jc w:val="center"/>
              <w:rPr>
                <w:rFonts w:hint="default" w:ascii="Times New Roman" w:hAnsi="Times New Roman" w:cs="Times New Roman"/>
                <w:sz w:val="20"/>
              </w:rPr>
            </w:pPr>
          </w:p>
        </w:tc>
        <w:tc>
          <w:tcPr>
            <w:tcW w:w="126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210"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567"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≥95%以上</w:t>
            </w:r>
          </w:p>
        </w:tc>
        <w:tc>
          <w:tcPr>
            <w:tcW w:w="3858"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≥95%以上</w:t>
            </w:r>
          </w:p>
        </w:tc>
      </w:tr>
    </w:tbl>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sz w:val="32"/>
          <w:szCs w:val="32"/>
        </w:rPr>
        <w:t>农村人居环境整治提升专项业务费</w:t>
      </w:r>
      <w:r>
        <w:rPr>
          <w:rFonts w:hint="default" w:ascii="Times New Roman" w:hAnsi="Times New Roman" w:eastAsia="仿宋_GB2312" w:cs="Times New Roman"/>
          <w:kern w:val="0"/>
          <w:sz w:val="32"/>
          <w:szCs w:val="32"/>
        </w:rPr>
        <w:t>”项目。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（1）项目概述。保障2024年全市农村人居环境整治、美丽乡村建设、农村厕所革命等工作开展以及相关的会议、宣传培训、考察交流、观摩学习、日常调度、督导调研、“赛马”评比、考核验收等事项。</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（2）立项依据。①《中共安徽省委办公厅安徽省人民政府办公厅关于印发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安徽省“十四五”农村人居环境整治提升行动实施方案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通知》（厅〔2022〕14号）；②《安徽省农业农村厅安徽省发展和改革委员会关于印发安徽省“十四五”美丽乡村建设规划的通知》（皖农社〔2022〕6号）；③《安徽省农业农村厅等八部门关于高质量推进“十四五”农村厕所革命的指导意见》（皖农社〔2021〕149号）；④《中共淮北市委办公室淮北市人民政府办公室关于印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淮北市“十四五”农村人居环境整治提升行动实施方案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通知》（办〔2022〕24号）；⑤《淮北市农业农村局淮北市发展和改革委员会关于印发淮北市“十四五”农业农村现代化规划（含美丽乡村建设规划）的通知》（淮农〔2022〕9号）；⑥《淮北市农业农村局等八部门关于高质量推进“十四五”农村厕所革命的实施意见》（淮农〔2022〕5号）；⑦《淮北市2023年加快推进宜居宜业和美乡村建设扎实做好农村人居环境整治提升重点工作“赛马”机制考核方案》。</w:t>
      </w:r>
    </w:p>
    <w:p>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淮北市乡村事务中心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年1月1日至202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年12月31日</w:t>
      </w:r>
    </w:p>
    <w:p>
      <w:pPr>
        <w:ind w:firstLine="640" w:firstLineChars="200"/>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i w:val="0"/>
          <w:iCs w:val="0"/>
          <w:color w:val="000000"/>
          <w:kern w:val="0"/>
          <w:sz w:val="32"/>
          <w:szCs w:val="32"/>
          <w:u w:val="none"/>
          <w:lang w:val="en-US" w:eastAsia="zh-CN" w:bidi="ar"/>
        </w:rPr>
        <w:t>保障完成6960户农村改厕任务，农村改厕管护服务体系进一步完善。序时推进2023年度6个和美乡村精品示范村建设，完成2023年度36个省市级中心村建设任务；启动实施2024年度6个以上和美乡村精品示范村及30个以上省市级中心村建设。完成2024年度192个美丽宜居自然村庄创建任务。</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50万元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660"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9"/>
        <w:gridCol w:w="1241"/>
        <w:gridCol w:w="990"/>
        <w:gridCol w:w="660"/>
        <w:gridCol w:w="2430"/>
        <w:gridCol w:w="1305"/>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6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农村人居环境整治提升专项业务费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淮北市农业农村局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淮北市乡村事务中心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财政预算资金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年度资金总额：</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其中：财政拨款</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上年结转</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其他资金</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5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完成6960户农村改厕任务，农村改厕管护服务体系进一步完善。序时推进2023年度6个和美乡村精品示范村建设，完成2023年度36个省市级中心村建设任务；启动实施2024年度6个以上和美乡村精品示范村及30个以上省市级中心村建设。完成2024年度192个美丽宜居自然村庄创建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到2025年，完成4.5万户以上农村卫生厕所改造，省级农村改厕与长效管护机制提升县（区）全部建成，建设20个以上和美乡村精品示范村、100个左右省级中心村、60个左右市级中心村和800个左右美丽宜居自然村庄。</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完成6960户农村改厕任务，农村改厕管护服务体系进一步完善。序时推进2023年度6个和美乡村精品示范村建设，完成2023年度36个省市级中心村建设任务；启动实施2024年度6个以上和美乡村精品示范村及30个以上省市级中心村建设。完成2024年度192个美丽宜居自然村庄创建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优良</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按序时进度</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农村基础设施和公共服务配套建设能否产生经济效</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农村基础设施建设和公共服务配套全面提升。完成农村人居环境整治提升年度目标任务。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农村卫生厕所普及率进一步提高，维修管护体系实现改厕户全覆盖，厕所粪污无害化处理和资源化利用水平显著提高，以县、镇、村为单元或跨行政区片区整体推进的和美乡村建设新格局加快形成。</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2024年度农村改厕任务全面完成，相山区省级农村改厕与长效管护机制提升县（区）创建任务全面完成，农村改厕管护服务体系进一步完善。2023年度和美乡村中心村全部建成，顺利通过省级验收；2024年度和美乡村规划建设全面实施。2024年度美丽宜居自然村庄建设任务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能否产生生态效益</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改善农村生产、生活、生态环境。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是否产生持续影响</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建立健全长效管护机制。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3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bl>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为非参照公务员法管理的事业单位，按照部门预算机关运行经费口径，2024年无机关运行经费财政拨款预算。</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2024年政府采购预算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截至2023年12月31日，淮北市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辆，其中：主要领导干部用车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辆、机要通信用车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辆、应急保障用车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辆、执法执勤用车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辆、特种专业技术用车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辆、离退休干部用车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辆、其他用车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辆（只列报车辆不为0的车型）。单价50万元以上的通用设备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2024年部门（单位）预算安排购置公务用车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万元，其中：主要领导干部用车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辆、机要通信用车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辆、应急保障用车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辆、执法执勤用车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辆、特种专业技术用车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辆、离退休干部用车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辆、其他用车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辆（只列报车辆不为0的车型）；安排购置单价50万元以上的通用设备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2024年，淮北市</w:t>
      </w:r>
      <w:r>
        <w:rPr>
          <w:rFonts w:hint="default" w:ascii="Times New Roman" w:hAnsi="Times New Roman" w:eastAsia="仿宋_GB2312" w:cs="Times New Roman"/>
          <w:kern w:val="0"/>
          <w:sz w:val="32"/>
          <w:szCs w:val="32"/>
          <w:lang w:eastAsia="zh-CN"/>
        </w:rPr>
        <w:t>乡村事务中心</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63</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4"/>
        <w:adjustRightInd w:val="0"/>
        <w:snapToGrid w:val="0"/>
        <w:spacing w:line="560" w:lineRule="exact"/>
        <w:jc w:val="center"/>
        <w:rPr>
          <w:rFonts w:hint="default" w:ascii="Times New Roman" w:hAnsi="Times New Roman" w:eastAsia="黑体" w:cs="Times New Roman"/>
          <w:bCs/>
          <w:sz w:val="36"/>
          <w:szCs w:val="36"/>
        </w:rPr>
      </w:pPr>
    </w:p>
    <w:p>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第四部分名词解释</w:t>
      </w:r>
    </w:p>
    <w:p>
      <w:pPr>
        <w:rPr>
          <w:rFonts w:hint="default" w:ascii="Times New Roman" w:hAnsi="Times New Roman" w:cs="Times New Roman"/>
        </w:rPr>
      </w:pP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b/>
          <w:sz w:val="32"/>
          <w:szCs w:val="32"/>
          <w:lang w:eastAsia="zh-CN"/>
        </w:rPr>
        <w:t>指</w:t>
      </w:r>
      <w:r>
        <w:rPr>
          <w:rFonts w:hint="default" w:ascii="Times New Roman" w:hAnsi="Times New Roman" w:eastAsia="仿宋_GB2312" w:cs="Times New Roman"/>
          <w:sz w:val="32"/>
          <w:szCs w:val="32"/>
        </w:rPr>
        <w:t>除基本支出之外的支出，主要用于完成特定的工作任务和事业发展目标。</w:t>
      </w:r>
    </w:p>
    <w:p>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十、机关运行经费</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汉仪中秀体简">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MGE4ZWJhNjNhZjM4ZTMzZTc5MWU2MzhmYzQ5NGE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66E33D4"/>
    <w:rsid w:val="138223C1"/>
    <w:rsid w:val="16ED049C"/>
    <w:rsid w:val="32F76621"/>
    <w:rsid w:val="3B756663"/>
    <w:rsid w:val="3B8064B2"/>
    <w:rsid w:val="479F0F28"/>
    <w:rsid w:val="4DC63DF8"/>
    <w:rsid w:val="538928BA"/>
    <w:rsid w:val="58D04C80"/>
    <w:rsid w:val="5B4D4AE3"/>
    <w:rsid w:val="6AB277EA"/>
    <w:rsid w:val="743A2275"/>
    <w:rsid w:val="7BEB0A27"/>
    <w:rsid w:val="7C30113C"/>
    <w:rsid w:val="7E67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character" w:customStyle="1" w:styleId="9">
    <w:name w:val="font41"/>
    <w:basedOn w:val="6"/>
    <w:autoRedefine/>
    <w:qFormat/>
    <w:uiPriority w:val="0"/>
    <w:rPr>
      <w:rFonts w:hint="default" w:ascii="Calibri" w:hAnsi="Calibri" w:cs="Calibri"/>
      <w:color w:val="000000"/>
      <w:sz w:val="21"/>
      <w:szCs w:val="21"/>
      <w:u w:val="none"/>
    </w:rPr>
  </w:style>
  <w:style w:type="character" w:customStyle="1" w:styleId="10">
    <w:name w:val="font5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0</TotalTime>
  <ScaleCrop>false</ScaleCrop>
  <LinksUpToDate>false</LinksUpToDate>
  <CharactersWithSpaces>6578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2024-03-06T01:15:16Z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24F89198940D42A4AC0D1E59E2A8C0FF_13</vt:lpwstr>
  </property>
</Properties>
</file>