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580" w:lineRule="exact"/>
        <w:textAlignment w:val="auto"/>
        <w:rPr>
          <w:rFonts w:hint="eastAsia" w:ascii="黑体" w:eastAsia="黑体"/>
          <w:lang w:eastAsia="zh-CN"/>
        </w:rPr>
      </w:pPr>
      <w:r>
        <w:rPr>
          <w:rFonts w:hint="eastAsia" w:ascii="黑体" w:eastAsia="黑体"/>
          <w:spacing w:val="-27"/>
        </w:rPr>
        <w:t xml:space="preserve">附件 </w:t>
      </w:r>
      <w:r>
        <w:rPr>
          <w:rFonts w:hint="eastAsia" w:ascii="黑体" w:eastAsia="黑体"/>
          <w:lang w:val="en-US" w:eastAsia="zh-CN"/>
        </w:rPr>
        <w:t>3</w:t>
      </w:r>
    </w:p>
    <w:p>
      <w:pPr>
        <w:keepNext w:val="0"/>
        <w:keepLines w:val="0"/>
        <w:pageBreakBefore w:val="0"/>
        <w:widowControl w:val="0"/>
        <w:kinsoku/>
        <w:wordWrap/>
        <w:overflowPunct/>
        <w:topLinePunct w:val="0"/>
        <w:autoSpaceDE/>
        <w:autoSpaceDN/>
        <w:bidi w:val="0"/>
        <w:adjustRightInd/>
        <w:snapToGrid/>
        <w:spacing w:line="62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CN"/>
        </w:rPr>
        <w:t>2023年度淮北市乡村振兴局部门运转经费项目绩效评价报告</w:t>
      </w:r>
      <w:bookmarkStart w:id="0" w:name="_GoBack"/>
      <w:bookmarkEnd w:id="0"/>
    </w:p>
    <w:p>
      <w:pPr>
        <w:pStyle w:val="4"/>
        <w:pageBreakBefore w:val="0"/>
        <w:widowControl w:val="0"/>
        <w:kinsoku/>
        <w:wordWrap/>
        <w:overflowPunct/>
        <w:topLinePunct w:val="0"/>
        <w:autoSpaceDE/>
        <w:autoSpaceDN/>
        <w:bidi w:val="0"/>
        <w:adjustRightInd/>
        <w:snapToGrid/>
        <w:spacing w:line="580" w:lineRule="exact"/>
        <w:textAlignment w:val="auto"/>
        <w:rPr>
          <w:rFonts w:ascii="PMingLiU"/>
          <w:sz w:val="52"/>
        </w:rPr>
      </w:pPr>
    </w:p>
    <w:p>
      <w:pPr>
        <w:pStyle w:val="4"/>
        <w:pageBreakBefore w:val="0"/>
        <w:widowControl w:val="0"/>
        <w:kinsoku/>
        <w:wordWrap/>
        <w:overflowPunct/>
        <w:topLinePunct w:val="0"/>
        <w:autoSpaceDE/>
        <w:autoSpaceDN/>
        <w:bidi w:val="0"/>
        <w:adjustRightInd/>
        <w:snapToGrid/>
        <w:spacing w:line="580" w:lineRule="exact"/>
        <w:ind w:left="751"/>
        <w:textAlignment w:val="auto"/>
        <w:rPr>
          <w:rFonts w:hint="eastAsia" w:ascii="黑体" w:eastAsia="黑体"/>
        </w:rPr>
      </w:pPr>
      <w:r>
        <w:rPr>
          <w:rFonts w:hint="eastAsia" w:ascii="黑体" w:eastAsia="黑体"/>
        </w:rPr>
        <w:t>一、项目基本情况</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spacing w:val="4"/>
        </w:rPr>
      </w:pPr>
      <w:r>
        <w:rPr>
          <w:spacing w:val="7"/>
          <w:w w:val="95"/>
        </w:rPr>
        <w:t>（一</w:t>
      </w:r>
      <w:r>
        <w:rPr>
          <w:spacing w:val="5"/>
          <w:w w:val="95"/>
        </w:rPr>
        <w:t>）</w:t>
      </w:r>
      <w:r>
        <w:rPr>
          <w:spacing w:val="4"/>
          <w:w w:val="95"/>
        </w:rPr>
        <w:t>项目概况。</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rFonts w:hint="eastAsia" w:ascii="仿宋_GB2312" w:eastAsia="仿宋_GB2312"/>
          <w:sz w:val="32"/>
          <w:szCs w:val="32"/>
          <w:lang w:eastAsia="zh-CN"/>
        </w:rPr>
      </w:pPr>
      <w:r>
        <w:rPr>
          <w:rFonts w:hint="eastAsia"/>
          <w:spacing w:val="4"/>
          <w:w w:val="95"/>
          <w:lang w:val="en-US" w:eastAsia="zh-CN"/>
        </w:rPr>
        <w:t>1.</w:t>
      </w:r>
      <w:r>
        <w:rPr>
          <w:spacing w:val="4"/>
          <w:w w:val="95"/>
        </w:rPr>
        <w:t>项目背景</w:t>
      </w:r>
      <w:r>
        <w:rPr>
          <w:rFonts w:hint="eastAsia"/>
          <w:spacing w:val="4"/>
          <w:w w:val="95"/>
          <w:lang w:eastAsia="zh-CN"/>
        </w:rPr>
        <w:t>：</w:t>
      </w:r>
      <w:r>
        <w:rPr>
          <w:rFonts w:hint="eastAsia" w:ascii="仿宋_GB2312" w:eastAsia="仿宋_GB2312"/>
          <w:sz w:val="32"/>
          <w:szCs w:val="32"/>
        </w:rPr>
        <w:t>全面完成贫困人口脱贫任务</w:t>
      </w:r>
      <w:r>
        <w:rPr>
          <w:rFonts w:hint="eastAsia"/>
          <w:sz w:val="32"/>
          <w:szCs w:val="32"/>
          <w:lang w:eastAsia="zh-CN"/>
        </w:rPr>
        <w:t>后</w:t>
      </w:r>
      <w:r>
        <w:rPr>
          <w:rFonts w:hint="eastAsia" w:ascii="仿宋_GB2312" w:eastAsia="仿宋_GB2312"/>
          <w:sz w:val="32"/>
          <w:szCs w:val="32"/>
        </w:rPr>
        <w:t>，巩固</w:t>
      </w:r>
      <w:r>
        <w:rPr>
          <w:rFonts w:hint="eastAsia"/>
          <w:sz w:val="32"/>
          <w:szCs w:val="32"/>
          <w:lang w:eastAsia="zh-CN"/>
        </w:rPr>
        <w:t>拓展</w:t>
      </w:r>
      <w:r>
        <w:rPr>
          <w:rFonts w:hint="eastAsia" w:ascii="仿宋_GB2312" w:eastAsia="仿宋_GB2312"/>
          <w:sz w:val="32"/>
          <w:szCs w:val="32"/>
        </w:rPr>
        <w:t>脱贫</w:t>
      </w:r>
      <w:r>
        <w:rPr>
          <w:rFonts w:hint="eastAsia"/>
          <w:sz w:val="32"/>
          <w:szCs w:val="32"/>
          <w:lang w:eastAsia="zh-CN"/>
        </w:rPr>
        <w:t>攻坚</w:t>
      </w:r>
      <w:r>
        <w:rPr>
          <w:rFonts w:hint="eastAsia" w:ascii="仿宋_GB2312" w:eastAsia="仿宋_GB2312"/>
          <w:sz w:val="32"/>
          <w:szCs w:val="32"/>
        </w:rPr>
        <w:t>成果，防止返贫致贫尤为重要，这事关人民群众的民生福祉，事关党的执政基础和国家</w:t>
      </w:r>
      <w:r>
        <w:rPr>
          <w:rFonts w:hint="eastAsia"/>
          <w:sz w:val="32"/>
          <w:szCs w:val="32"/>
          <w:lang w:eastAsia="zh-CN"/>
        </w:rPr>
        <w:t>的</w:t>
      </w:r>
      <w:r>
        <w:rPr>
          <w:rFonts w:hint="eastAsia" w:ascii="仿宋_GB2312" w:eastAsia="仿宋_GB2312"/>
          <w:sz w:val="32"/>
          <w:szCs w:val="32"/>
        </w:rPr>
        <w:t>长治久安</w:t>
      </w:r>
      <w:r>
        <w:rPr>
          <w:rFonts w:hint="eastAsia"/>
          <w:sz w:val="32"/>
          <w:szCs w:val="32"/>
          <w:lang w:eastAsia="zh-CN"/>
        </w:rPr>
        <w:t>，因此设立</w:t>
      </w:r>
      <w:r>
        <w:rPr>
          <w:rFonts w:hint="eastAsia"/>
          <w:spacing w:val="4"/>
          <w:w w:val="95"/>
          <w:lang w:eastAsia="zh-CN"/>
        </w:rPr>
        <w:t>淮北市乡村振兴局部门运转经费用于保障</w:t>
      </w:r>
      <w:r>
        <w:rPr>
          <w:rFonts w:hint="eastAsia" w:ascii="仿宋_GB2312" w:eastAsia="仿宋_GB2312"/>
          <w:sz w:val="32"/>
          <w:szCs w:val="32"/>
        </w:rPr>
        <w:t>巩固</w:t>
      </w:r>
      <w:r>
        <w:rPr>
          <w:rFonts w:hint="eastAsia"/>
          <w:sz w:val="32"/>
          <w:szCs w:val="32"/>
          <w:lang w:eastAsia="zh-CN"/>
        </w:rPr>
        <w:t>拓展</w:t>
      </w:r>
      <w:r>
        <w:rPr>
          <w:rFonts w:hint="eastAsia" w:ascii="仿宋_GB2312" w:eastAsia="仿宋_GB2312"/>
          <w:sz w:val="32"/>
          <w:szCs w:val="32"/>
        </w:rPr>
        <w:t>脱贫</w:t>
      </w:r>
      <w:r>
        <w:rPr>
          <w:rFonts w:hint="eastAsia"/>
          <w:sz w:val="32"/>
          <w:szCs w:val="32"/>
          <w:lang w:eastAsia="zh-CN"/>
        </w:rPr>
        <w:t>攻坚</w:t>
      </w:r>
      <w:r>
        <w:rPr>
          <w:rFonts w:hint="eastAsia" w:ascii="仿宋_GB2312" w:eastAsia="仿宋_GB2312"/>
          <w:sz w:val="32"/>
          <w:szCs w:val="32"/>
        </w:rPr>
        <w:t>成果</w:t>
      </w:r>
      <w:r>
        <w:rPr>
          <w:rFonts w:hint="eastAsia"/>
          <w:sz w:val="32"/>
          <w:szCs w:val="32"/>
          <w:lang w:eastAsia="zh-CN"/>
        </w:rPr>
        <w:t>相关工作。</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rFonts w:hint="eastAsia"/>
          <w:spacing w:val="4"/>
          <w:w w:val="95"/>
          <w:lang w:eastAsia="zh-CN"/>
        </w:rPr>
      </w:pPr>
      <w:r>
        <w:rPr>
          <w:rFonts w:hint="eastAsia"/>
          <w:spacing w:val="4"/>
          <w:w w:val="95"/>
          <w:lang w:val="en-US" w:eastAsia="zh-CN"/>
        </w:rPr>
        <w:t>2.</w:t>
      </w:r>
      <w:r>
        <w:rPr>
          <w:spacing w:val="4"/>
          <w:w w:val="95"/>
        </w:rPr>
        <w:t>主要内容及实施情况</w:t>
      </w:r>
      <w:r>
        <w:rPr>
          <w:rFonts w:hint="eastAsia"/>
          <w:spacing w:val="4"/>
          <w:w w:val="95"/>
          <w:lang w:eastAsia="zh-CN"/>
        </w:rPr>
        <w:t>：淮北市乡村振兴局部门运转经费主要是用来统筹推进全市巩固拓展脱贫攻坚成果同乡村振兴有效衔接工作，确保中央、省、市各项决策部署能够落到实处，为日常运转类项目，包括办公费、印刷费、邮电费、差旅费、会议费、培训费、公务接待费、劳务费、其他交通费、其他商品和服务支出、办公设备购置费等。项目实施主要围绕单位日常工作开展需要，保障机关正常运行，按照实际发生额进行支出。</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rFonts w:hint="default" w:eastAsia="仿宋_GB2312"/>
          <w:spacing w:val="4"/>
          <w:w w:val="95"/>
          <w:lang w:val="en-US" w:eastAsia="zh-CN"/>
        </w:rPr>
      </w:pPr>
      <w:r>
        <w:rPr>
          <w:rFonts w:hint="eastAsia"/>
          <w:spacing w:val="4"/>
          <w:lang w:val="en-US" w:eastAsia="zh-CN"/>
        </w:rPr>
        <w:t>3.</w:t>
      </w:r>
      <w:r>
        <w:rPr>
          <w:spacing w:val="4"/>
        </w:rPr>
        <w:t>资金投入和使用情况</w:t>
      </w:r>
      <w:r>
        <w:rPr>
          <w:rFonts w:hint="eastAsia"/>
          <w:spacing w:val="4"/>
          <w:lang w:eastAsia="zh-CN"/>
        </w:rPr>
        <w:t>：全年预算资金</w:t>
      </w:r>
      <w:r>
        <w:rPr>
          <w:rFonts w:hint="eastAsia"/>
          <w:spacing w:val="4"/>
          <w:lang w:val="en-US" w:eastAsia="zh-CN"/>
        </w:rPr>
        <w:t>58万元，全部为财政资金，实际使用财政资金46.02万元。</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t>（二）项目绩效目标。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lang w:eastAsia="zh-CN"/>
        </w:rPr>
      </w:pPr>
      <w:r>
        <w:rPr>
          <w:rFonts w:hint="eastAsia"/>
          <w:lang w:eastAsia="zh-CN"/>
        </w:rPr>
        <w:t>项目的</w:t>
      </w:r>
      <w:r>
        <w:t>总体目标和阶段性目标</w:t>
      </w:r>
      <w:r>
        <w:rPr>
          <w:rFonts w:hint="eastAsia"/>
          <w:lang w:eastAsia="zh-CN"/>
        </w:rPr>
        <w:t>均为</w:t>
      </w:r>
      <w:r>
        <w:rPr>
          <w:rFonts w:hint="eastAsia"/>
          <w:spacing w:val="4"/>
          <w:w w:val="95"/>
          <w:lang w:eastAsia="zh-CN"/>
        </w:rPr>
        <w:t>统筹推进全市巩固拓展脱贫攻坚成果同乡村振兴有效衔接工作</w:t>
      </w:r>
      <w:r>
        <w:rPr>
          <w:rFonts w:hint="eastAsia"/>
          <w:lang w:eastAsia="zh-CN"/>
        </w:rPr>
        <w:t>。</w:t>
      </w:r>
    </w:p>
    <w:p>
      <w:pPr>
        <w:pStyle w:val="4"/>
        <w:pageBreakBefore w:val="0"/>
        <w:widowControl w:val="0"/>
        <w:kinsoku/>
        <w:wordWrap/>
        <w:overflowPunct/>
        <w:topLinePunct w:val="0"/>
        <w:autoSpaceDE/>
        <w:autoSpaceDN/>
        <w:bidi w:val="0"/>
        <w:adjustRightInd/>
        <w:snapToGrid/>
        <w:spacing w:line="580" w:lineRule="exact"/>
        <w:ind w:left="751"/>
        <w:textAlignment w:val="auto"/>
        <w:rPr>
          <w:rFonts w:hint="eastAsia" w:ascii="黑体" w:eastAsia="黑体"/>
        </w:rPr>
      </w:pPr>
      <w:r>
        <w:rPr>
          <w:rFonts w:hint="eastAsia" w:ascii="黑体" w:eastAsia="黑体"/>
        </w:rPr>
        <w:t>二、绩效评价工作开展情况</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rFonts w:hint="eastAsia"/>
          <w:spacing w:val="4"/>
          <w:w w:val="95"/>
          <w:lang w:eastAsia="zh-CN"/>
        </w:rPr>
      </w:pPr>
      <w:r>
        <w:rPr>
          <w:rFonts w:hint="eastAsia"/>
          <w:spacing w:val="4"/>
          <w:w w:val="95"/>
          <w:lang w:eastAsia="zh-CN"/>
        </w:rPr>
        <w:t>（一）绩效评价目的、对象和范围。</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rFonts w:hint="eastAsia"/>
          <w:spacing w:val="4"/>
          <w:w w:val="95"/>
          <w:lang w:val="en-US" w:eastAsia="zh-CN"/>
        </w:rPr>
      </w:pPr>
      <w:r>
        <w:rPr>
          <w:rFonts w:hint="eastAsia"/>
          <w:spacing w:val="4"/>
          <w:w w:val="95"/>
          <w:lang w:val="en-US" w:eastAsia="zh-CN"/>
        </w:rPr>
        <w:t>1.</w:t>
      </w:r>
      <w:r>
        <w:rPr>
          <w:rFonts w:hint="eastAsia"/>
          <w:spacing w:val="4"/>
          <w:w w:val="95"/>
          <w:lang w:eastAsia="zh-CN"/>
        </w:rPr>
        <w:t>绩效评价目的：了解</w:t>
      </w:r>
      <w:r>
        <w:rPr>
          <w:rFonts w:hint="eastAsia"/>
          <w:spacing w:val="4"/>
          <w:w w:val="95"/>
          <w:lang w:val="en-US" w:eastAsia="zh-CN"/>
        </w:rPr>
        <w:t>财政资金使用情况、财务管理状况和资产配置、使用、处置情况，绩效目标的实现程度，是否达到预定产出和效果等。</w:t>
      </w:r>
    </w:p>
    <w:p>
      <w:pPr>
        <w:pStyle w:val="4"/>
        <w:keepNext w:val="0"/>
        <w:keepLines w:val="0"/>
        <w:pageBreakBefore w:val="0"/>
        <w:widowControl w:val="0"/>
        <w:kinsoku/>
        <w:wordWrap/>
        <w:overflowPunct/>
        <w:topLinePunct w:val="0"/>
        <w:autoSpaceDE/>
        <w:autoSpaceDN/>
        <w:bidi w:val="0"/>
        <w:adjustRightInd/>
        <w:snapToGrid/>
        <w:spacing w:line="580" w:lineRule="exact"/>
        <w:ind w:left="106" w:right="109" w:firstLine="645"/>
        <w:textAlignment w:val="auto"/>
        <w:rPr>
          <w:rFonts w:hint="eastAsia"/>
          <w:spacing w:val="4"/>
          <w:w w:val="95"/>
          <w:lang w:eastAsia="zh-CN"/>
        </w:rPr>
      </w:pPr>
      <w:r>
        <w:rPr>
          <w:rFonts w:hint="eastAsia"/>
          <w:spacing w:val="4"/>
          <w:w w:val="95"/>
          <w:lang w:val="en-US" w:eastAsia="zh-CN"/>
        </w:rPr>
        <w:t>2.对象和范围：纳入政府预算管理的项目支出，即</w:t>
      </w:r>
      <w:r>
        <w:rPr>
          <w:rFonts w:hint="eastAsia"/>
          <w:spacing w:val="4"/>
          <w:w w:val="95"/>
          <w:lang w:eastAsia="zh-CN"/>
        </w:rPr>
        <w:t>淮北市乡村振兴局部门运转经费。</w:t>
      </w:r>
    </w:p>
    <w:p>
      <w:pPr>
        <w:pStyle w:val="4"/>
        <w:pageBreakBefore w:val="0"/>
        <w:widowControl w:val="0"/>
        <w:kinsoku/>
        <w:wordWrap/>
        <w:overflowPunct/>
        <w:topLinePunct w:val="0"/>
        <w:autoSpaceDE/>
        <w:autoSpaceDN/>
        <w:bidi w:val="0"/>
        <w:adjustRightInd/>
        <w:snapToGrid/>
        <w:spacing w:line="580" w:lineRule="exact"/>
        <w:ind w:left="106" w:right="106" w:firstLine="645"/>
        <w:textAlignment w:val="auto"/>
        <w:rPr>
          <w:spacing w:val="-2"/>
        </w:rPr>
      </w:pPr>
      <w:r>
        <w:t>（二</w:t>
      </w:r>
      <w:r>
        <w:rPr>
          <w:spacing w:val="-5"/>
        </w:rPr>
        <w:t>）</w:t>
      </w:r>
      <w:r>
        <w:rPr>
          <w:spacing w:val="-2"/>
        </w:rPr>
        <w:t>绩效评价原则、评价指标体系</w:t>
      </w:r>
      <w:r>
        <w:rPr>
          <w:rFonts w:hint="eastAsia"/>
          <w:lang w:eastAsia="zh-CN"/>
        </w:rPr>
        <w:t>、</w:t>
      </w:r>
      <w:r>
        <w:rPr>
          <w:spacing w:val="-2"/>
        </w:rPr>
        <w:t>评价方法、评价标准等。</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绩效评价原则</w:t>
      </w:r>
      <w:r>
        <w:rPr>
          <w:rFonts w:hint="eastAsia" w:ascii="仿宋_GB2312" w:hAnsi="仿宋_GB2312" w:eastAsia="仿宋_GB2312" w:cs="仿宋_GB2312"/>
          <w:sz w:val="32"/>
          <w:szCs w:val="32"/>
          <w:lang w:eastAsia="zh-CN"/>
        </w:rPr>
        <w:t>：科学公正，对项目进行客观公正的反映；统筹兼顾，项目单位自评，“谁支出、谁自评”；公开透明，绩效评价结果依法依规公开，自觉接受社会监督。</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eastAsia="zh-CN"/>
        </w:rPr>
        <w:t>：包括项目资金执行率指标、</w:t>
      </w:r>
      <w:r>
        <w:rPr>
          <w:rFonts w:hint="eastAsia" w:ascii="仿宋_GB2312" w:hAnsi="仿宋_GB2312" w:eastAsia="仿宋_GB2312" w:cs="仿宋_GB2312"/>
          <w:sz w:val="32"/>
          <w:szCs w:val="32"/>
        </w:rPr>
        <w:t>产出指标</w:t>
      </w:r>
      <w:r>
        <w:rPr>
          <w:rFonts w:hint="eastAsia" w:ascii="仿宋_GB2312" w:hAnsi="仿宋_GB2312" w:eastAsia="仿宋_GB2312" w:cs="仿宋_GB2312"/>
          <w:sz w:val="32"/>
          <w:szCs w:val="32"/>
          <w:lang w:eastAsia="zh-CN"/>
        </w:rPr>
        <w:t>、效益指标、满意度指标，具体见表格。</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评价方法：定量和定性相结合，总分由各项指标得分汇总形成。</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spacing w:val="-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评价标准</w:t>
      </w:r>
      <w:r>
        <w:rPr>
          <w:rFonts w:hint="eastAsia" w:ascii="仿宋_GB2312" w:hAnsi="仿宋_GB2312" w:eastAsia="仿宋_GB2312" w:cs="仿宋_GB2312"/>
          <w:sz w:val="32"/>
          <w:szCs w:val="32"/>
          <w:lang w:eastAsia="zh-CN"/>
        </w:rPr>
        <w:t>：计划标准，以预先制定的目标、计划、预算、定额等作为评价标准。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结合工作实际，组织人员按照自评方案进行评价工作，收集相关资料和基础数据，整理、分析、汇总相关信息，撰写报告初稿，绩效评价报告初稿形成之后，与相关人员进行沟通，并经分管领导和主要领导审定后，形成最终自评表和自评报告。</w:t>
      </w:r>
    </w:p>
    <w:p>
      <w:pPr>
        <w:pStyle w:val="4"/>
        <w:pageBreakBefore w:val="0"/>
        <w:widowControl w:val="0"/>
        <w:kinsoku/>
        <w:wordWrap/>
        <w:overflowPunct/>
        <w:topLinePunct w:val="0"/>
        <w:autoSpaceDE/>
        <w:autoSpaceDN/>
        <w:bidi w:val="0"/>
        <w:adjustRightInd/>
        <w:snapToGrid/>
        <w:spacing w:line="580" w:lineRule="exact"/>
        <w:ind w:left="751" w:right="1534"/>
        <w:textAlignment w:val="auto"/>
      </w:pPr>
      <w:r>
        <w:rPr>
          <w:rFonts w:hint="eastAsia" w:ascii="黑体" w:eastAsia="黑体"/>
        </w:rPr>
        <w:t>三、综合评价情况及评价结论</w:t>
      </w:r>
      <w:r>
        <w:t>（附相关评分表）</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经自评，我单位项目支出绩效自评为97.93分，评价结果为“优”。</w:t>
      </w:r>
    </w:p>
    <w:p>
      <w:pPr>
        <w:pStyle w:val="4"/>
        <w:pageBreakBefore w:val="0"/>
        <w:widowControl w:val="0"/>
        <w:kinsoku/>
        <w:wordWrap/>
        <w:overflowPunct/>
        <w:topLinePunct w:val="0"/>
        <w:autoSpaceDE/>
        <w:autoSpaceDN/>
        <w:bidi w:val="0"/>
        <w:adjustRightInd/>
        <w:snapToGrid/>
        <w:spacing w:line="580" w:lineRule="exact"/>
        <w:ind w:left="751" w:right="1534"/>
        <w:textAlignment w:val="auto"/>
      </w:pPr>
      <w:r>
        <w:rPr>
          <w:rFonts w:hint="eastAsia" w:ascii="黑体" w:eastAsia="黑体"/>
        </w:rPr>
        <w:t>四、绩效评价指标分析</w:t>
      </w:r>
    </w:p>
    <w:p>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（一）项目决策情况。我单位项目按照科室申请、局党组研究的方式，自下而上形成预算。</w:t>
      </w:r>
    </w:p>
    <w:p>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（二）项目过程情况。在项目支出过程中，严格按照财政资金相关要求进行列支，逐级申请、逐级审核，确保项目支出合法合理合规。</w:t>
      </w:r>
    </w:p>
    <w:p>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（三）项目产出情况。巩固拓展了脱贫攻坚成果，未发生返贫致贫现象。</w:t>
      </w:r>
    </w:p>
    <w:p>
      <w:pPr>
        <w:pStyle w:val="4"/>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（四）项目效益情况。已脱贫户、监测户人均可支配收入增长率</w:t>
      </w:r>
      <w:r>
        <w:rPr>
          <w:rFonts w:hint="eastAsia" w:cs="仿宋_GB2312"/>
          <w:kern w:val="2"/>
          <w:sz w:val="32"/>
          <w:szCs w:val="32"/>
          <w:lang w:val="en-US" w:eastAsia="zh-CN" w:bidi="ar-SA"/>
        </w:rPr>
        <w:t>为15.64</w:t>
      </w:r>
      <w:r>
        <w:rPr>
          <w:rFonts w:hint="eastAsia" w:ascii="仿宋_GB2312" w:hAnsi="仿宋_GB2312" w:eastAsia="仿宋_GB2312" w:cs="仿宋_GB2312"/>
          <w:kern w:val="2"/>
          <w:sz w:val="32"/>
          <w:szCs w:val="32"/>
          <w:lang w:val="en-US" w:eastAsia="zh-CN" w:bidi="ar-SA"/>
        </w:rPr>
        <w:t>%，内生动力显著增强</w:t>
      </w:r>
      <w:r>
        <w:rPr>
          <w:rFonts w:hint="eastAsia" w:cs="仿宋_GB2312"/>
          <w:kern w:val="2"/>
          <w:sz w:val="32"/>
          <w:szCs w:val="32"/>
          <w:lang w:val="en-US" w:eastAsia="zh-CN" w:bidi="ar-SA"/>
        </w:rPr>
        <w:t>，村容村貌改善明显，农村人居环境显著改善。</w:t>
      </w:r>
    </w:p>
    <w:p>
      <w:pPr>
        <w:pStyle w:val="4"/>
        <w:pageBreakBefore w:val="0"/>
        <w:widowControl w:val="0"/>
        <w:kinsoku/>
        <w:wordWrap/>
        <w:overflowPunct/>
        <w:topLinePunct w:val="0"/>
        <w:autoSpaceDE/>
        <w:autoSpaceDN/>
        <w:bidi w:val="0"/>
        <w:adjustRightInd/>
        <w:snapToGrid/>
        <w:spacing w:line="580" w:lineRule="exact"/>
        <w:ind w:left="751"/>
        <w:textAlignment w:val="auto"/>
        <w:rPr>
          <w:rFonts w:hint="eastAsia" w:ascii="黑体" w:eastAsia="黑体"/>
        </w:rPr>
      </w:pPr>
      <w:r>
        <w:rPr>
          <w:rFonts w:hint="eastAsia" w:ascii="黑体" w:eastAsia="黑体"/>
        </w:rPr>
        <w:t>五、主要经验及做法</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一是加强沟通协调。积极争取市财政局对巩固拓展脱贫攻坚成果工作的支持，落实市级财政投入政策，保障了资金投入。</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二是加强预算管理。认真落实资金使用范围和预算管理等规定要求，采取召开计划执行调度会、及时提醒等措施，确保了年度计划的执行和完成。</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黑体" w:eastAsia="黑体"/>
        </w:rPr>
      </w:pPr>
      <w:r>
        <w:rPr>
          <w:rFonts w:hint="eastAsia" w:ascii="仿宋_GB2312" w:hAnsi="仿宋_GB2312" w:eastAsia="仿宋_GB2312" w:cs="仿宋_GB2312"/>
          <w:sz w:val="32"/>
          <w:szCs w:val="32"/>
          <w:lang w:val="en-US" w:eastAsia="zh-CN"/>
        </w:rPr>
        <w:t>三是强化预算约束。提高预算执行力度，严格按照财政部门批复的预算安排各项支出。积极配合市财政部门，对资金使用情况进行跟踪督查，确保资金合理合规使用。</w:t>
      </w:r>
    </w:p>
    <w:p>
      <w:pPr>
        <w:pStyle w:val="4"/>
        <w:pageBreakBefore w:val="0"/>
        <w:widowControl w:val="0"/>
        <w:kinsoku/>
        <w:wordWrap/>
        <w:overflowPunct/>
        <w:topLinePunct w:val="0"/>
        <w:autoSpaceDE/>
        <w:autoSpaceDN/>
        <w:bidi w:val="0"/>
        <w:adjustRightInd/>
        <w:snapToGrid/>
        <w:spacing w:line="580" w:lineRule="exact"/>
        <w:ind w:left="751" w:right="4733"/>
        <w:textAlignment w:val="auto"/>
        <w:rPr>
          <w:rFonts w:hint="eastAsia" w:ascii="黑体" w:eastAsia="黑体"/>
        </w:rPr>
      </w:pPr>
      <w:r>
        <w:rPr>
          <w:rFonts w:hint="eastAsia" w:ascii="黑体" w:eastAsia="黑体"/>
        </w:rPr>
        <w:t>六、存在问题及原因分析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585" w:firstLineChars="18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自评过程中发现的主要问题为年初预算资金未支出完毕。主要原因一方面是受机构改革影响，另一方面是响应上级过紧日子号召、厉行节约，减少了会议、培训、公务接待等活动。</w:t>
      </w:r>
    </w:p>
    <w:p>
      <w:pPr>
        <w:pStyle w:val="4"/>
        <w:pageBreakBefore w:val="0"/>
        <w:widowControl w:val="0"/>
        <w:kinsoku/>
        <w:wordWrap/>
        <w:overflowPunct/>
        <w:topLinePunct w:val="0"/>
        <w:autoSpaceDE/>
        <w:autoSpaceDN/>
        <w:bidi w:val="0"/>
        <w:adjustRightInd/>
        <w:snapToGrid/>
        <w:spacing w:line="580" w:lineRule="exact"/>
        <w:ind w:left="751" w:right="4733"/>
        <w:textAlignment w:val="auto"/>
        <w:rPr>
          <w:rFonts w:hint="eastAsia" w:ascii="黑体" w:eastAsia="黑体"/>
        </w:rPr>
      </w:pPr>
      <w:r>
        <w:rPr>
          <w:rFonts w:hint="eastAsia" w:ascii="黑体" w:eastAsia="黑体"/>
        </w:rPr>
        <w:t>七、有关建议</w:t>
      </w: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spacing w:val="4"/>
        </w:rPr>
      </w:pPr>
      <w:r>
        <w:rPr>
          <w:rFonts w:hint="eastAsia"/>
          <w:lang w:eastAsia="zh-CN"/>
        </w:rPr>
        <w:t>针对存在的问题，拟将项目资金预算及执行作为下一年重点调度对象，就支出率较低的相关科目在下一年度预算中进行压减，并在执行预算过程中通过局党组会、业务会、口头提醒等形式压实各科室责任，加快资金支出进度。</w:t>
      </w:r>
    </w:p>
    <w:p>
      <w:pPr>
        <w:pStyle w:val="4"/>
        <w:pageBreakBefore w:val="0"/>
        <w:widowControl w:val="0"/>
        <w:kinsoku/>
        <w:wordWrap/>
        <w:overflowPunct/>
        <w:topLinePunct w:val="0"/>
        <w:autoSpaceDE/>
        <w:autoSpaceDN/>
        <w:bidi w:val="0"/>
        <w:adjustRightInd/>
        <w:snapToGrid/>
        <w:spacing w:line="580" w:lineRule="exact"/>
        <w:ind w:firstLine="608" w:firstLineChars="200"/>
        <w:textAlignment w:val="auto"/>
        <w:rPr>
          <w:rFonts w:ascii="黑体"/>
        </w:rPr>
      </w:pPr>
      <w:r>
        <w:rPr>
          <w:rFonts w:hint="eastAsia" w:ascii="黑体" w:eastAsia="黑体"/>
          <w:w w:val="95"/>
        </w:rPr>
        <w:t>八、其他需要说明的问题</w:t>
      </w: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r>
        <w:rPr>
          <w:rFonts w:hint="eastAsia"/>
          <w:lang w:eastAsia="zh-CN"/>
        </w:rPr>
        <w:t>无。</w:t>
      </w: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r>
        <w:rPr>
          <w:rFonts w:hint="eastAsia"/>
          <w:lang w:eastAsia="zh-CN"/>
        </w:rPr>
        <w:t>附：项目支出绩效自评表</w:t>
      </w: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p>
      <w:pPr>
        <w:pStyle w:val="4"/>
        <w:pageBreakBefore w:val="0"/>
        <w:widowControl w:val="0"/>
        <w:kinsoku/>
        <w:wordWrap/>
        <w:overflowPunct/>
        <w:topLinePunct w:val="0"/>
        <w:autoSpaceDE/>
        <w:autoSpaceDN/>
        <w:bidi w:val="0"/>
        <w:adjustRightInd/>
        <w:snapToGrid/>
        <w:spacing w:line="580" w:lineRule="exact"/>
        <w:ind w:right="109"/>
        <w:jc w:val="both"/>
        <w:textAlignment w:val="auto"/>
        <w:rPr>
          <w:rFonts w:hint="eastAsia"/>
          <w:lang w:eastAsia="zh-CN"/>
        </w:rPr>
      </w:pPr>
      <w:r>
        <w:rPr>
          <w:rFonts w:hint="eastAsia"/>
          <w:lang w:eastAsia="zh-CN"/>
        </w:rPr>
        <w:t>附：</w:t>
      </w:r>
    </w:p>
    <w:tbl>
      <w:tblPr>
        <w:tblStyle w:val="8"/>
        <w:tblW w:w="94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9"/>
        <w:gridCol w:w="778"/>
        <w:gridCol w:w="478"/>
        <w:gridCol w:w="1776"/>
        <w:gridCol w:w="1167"/>
        <w:gridCol w:w="544"/>
        <w:gridCol w:w="1167"/>
        <w:gridCol w:w="376"/>
        <w:gridCol w:w="544"/>
        <w:gridCol w:w="104"/>
        <w:gridCol w:w="687"/>
        <w:gridCol w:w="553"/>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9463"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13"/>
                <w:lang w:val="en-US" w:eastAsia="zh-CN" w:bidi="ar"/>
              </w:rPr>
              <w:t>项目支出绩效自评表</w:t>
            </w:r>
            <w:r>
              <w:rPr>
                <w:rStyle w:val="1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9463" w:type="dxa"/>
            <w:gridSpan w:val="13"/>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2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淮北市乡村振兴局部门运转经费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淮北市乡村振兴局</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淮北市乡村振兴局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trPr>
        <w:tc>
          <w:tcPr>
            <w:tcW w:w="17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 xml:space="preserve"> 其中：本年财政拨款</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5"/>
                <w:lang w:val="en-US" w:eastAsia="zh-CN" w:bidi="ar"/>
              </w:rPr>
              <w:t xml:space="preserve">       其他资金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47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w:t>
            </w:r>
          </w:p>
        </w:tc>
        <w:tc>
          <w:tcPr>
            <w:tcW w:w="41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7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47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统筹推进全市巩固拓展脱贫攻坚成果同乡村振兴有效衔接工作。</w:t>
            </w:r>
          </w:p>
        </w:tc>
        <w:tc>
          <w:tcPr>
            <w:tcW w:w="47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脱贫攻坚成果得到巩固拓展，未发生致贫返贫现象。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组织培训次数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组织开展培训2次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开展调研指导次数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≥4次</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开展调研指导6次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开展督查暗访次数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≥4次</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开展督查暗访4次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严控规模性返贫致贫现象发生</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不发生规模性返贫致贫</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无返贫人口</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9"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经费支出合规性</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严格执行相关财经法规、制度</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未发生违规违纪现象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全年各项保运转事务完成时限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2023年12月底前顺利完成各项保运转事务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全年部门运转经费支出数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≤58万</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支出46万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3"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已脱贫户、监测户人均可支配收入</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≥上年度人均可支配收入</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人均可支配收入增幅达15.64%</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激发已贫困户、监测户内生动力</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激发程度明显</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内生动力显著增强</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村容村貌得到阶段性明显改善</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村容村貌改善明显</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响指标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对改善农村人居环境质量持续影响程度</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农村人居环境质量持续提高</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已脱贫户、监测户满意度</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满意度达到100%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35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97.93</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4"/>
        <w:pageBreakBefore w:val="0"/>
        <w:widowControl w:val="0"/>
        <w:kinsoku/>
        <w:wordWrap/>
        <w:overflowPunct/>
        <w:topLinePunct w:val="0"/>
        <w:autoSpaceDE/>
        <w:autoSpaceDN/>
        <w:bidi w:val="0"/>
        <w:adjustRightInd/>
        <w:snapToGrid/>
        <w:spacing w:line="580" w:lineRule="exact"/>
        <w:ind w:left="106" w:right="109" w:firstLine="645"/>
        <w:jc w:val="both"/>
        <w:textAlignment w:val="auto"/>
        <w:rPr>
          <w:rFonts w:hint="eastAsia"/>
          <w:lang w:eastAsia="zh-CN"/>
        </w:rPr>
      </w:pPr>
    </w:p>
    <w:sectPr>
      <w:footerReference r:id="rId3" w:type="default"/>
      <w:pgSz w:w="11911" w:h="16838"/>
      <w:pgMar w:top="1582" w:right="1417" w:bottom="1582" w:left="1480" w:header="0" w:footer="1383"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8243A"/>
    <w:rsid w:val="01A41C93"/>
    <w:rsid w:val="04CF78C5"/>
    <w:rsid w:val="087A4428"/>
    <w:rsid w:val="0D0E1022"/>
    <w:rsid w:val="0EA502F5"/>
    <w:rsid w:val="10386C4E"/>
    <w:rsid w:val="12C76C36"/>
    <w:rsid w:val="12FD6C44"/>
    <w:rsid w:val="135A4A7C"/>
    <w:rsid w:val="142E3D23"/>
    <w:rsid w:val="143C7812"/>
    <w:rsid w:val="181A120E"/>
    <w:rsid w:val="1A766289"/>
    <w:rsid w:val="1DB0763F"/>
    <w:rsid w:val="1DBE03A7"/>
    <w:rsid w:val="1DF86720"/>
    <w:rsid w:val="24EF6733"/>
    <w:rsid w:val="26927AC2"/>
    <w:rsid w:val="28690C30"/>
    <w:rsid w:val="29D40765"/>
    <w:rsid w:val="327E2EDA"/>
    <w:rsid w:val="3288243A"/>
    <w:rsid w:val="33DC27EA"/>
    <w:rsid w:val="34BA7F27"/>
    <w:rsid w:val="35920576"/>
    <w:rsid w:val="35CF4964"/>
    <w:rsid w:val="37D76EAC"/>
    <w:rsid w:val="3ABA5D47"/>
    <w:rsid w:val="3FB37012"/>
    <w:rsid w:val="41E83459"/>
    <w:rsid w:val="42255EF9"/>
    <w:rsid w:val="42731E03"/>
    <w:rsid w:val="46B02F47"/>
    <w:rsid w:val="4BAE5053"/>
    <w:rsid w:val="4F0321E1"/>
    <w:rsid w:val="53A97609"/>
    <w:rsid w:val="53E879DB"/>
    <w:rsid w:val="54F4587E"/>
    <w:rsid w:val="57EA082F"/>
    <w:rsid w:val="581B2830"/>
    <w:rsid w:val="58355302"/>
    <w:rsid w:val="5A184B41"/>
    <w:rsid w:val="5C430C65"/>
    <w:rsid w:val="5FC361CE"/>
    <w:rsid w:val="60190B10"/>
    <w:rsid w:val="63365845"/>
    <w:rsid w:val="63736370"/>
    <w:rsid w:val="63A5353D"/>
    <w:rsid w:val="6482602B"/>
    <w:rsid w:val="65C21526"/>
    <w:rsid w:val="67011498"/>
    <w:rsid w:val="67766089"/>
    <w:rsid w:val="69F03D71"/>
    <w:rsid w:val="6ECA3938"/>
    <w:rsid w:val="703516FB"/>
    <w:rsid w:val="72480677"/>
    <w:rsid w:val="730B76F0"/>
    <w:rsid w:val="752A2D71"/>
    <w:rsid w:val="769D0B8F"/>
    <w:rsid w:val="79152975"/>
    <w:rsid w:val="7923626D"/>
    <w:rsid w:val="7A9D0B17"/>
    <w:rsid w:val="7B282AD8"/>
    <w:rsid w:val="7E62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right="332"/>
      <w:jc w:val="center"/>
      <w:outlineLvl w:val="1"/>
    </w:pPr>
    <w:rPr>
      <w:rFonts w:ascii="PMingLiU" w:hAnsi="PMingLiU" w:eastAsia="PMingLiU" w:cs="PMingLiU"/>
      <w:sz w:val="44"/>
      <w:szCs w:val="44"/>
      <w:lang w:val="zh-CN" w:eastAsia="zh-CN" w:bidi="zh-CN"/>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266" w:firstLine="640"/>
    </w:pPr>
    <w:rPr>
      <w:rFonts w:ascii="仿宋_GB2312" w:hAnsi="仿宋_GB2312" w:eastAsia="仿宋_GB2312" w:cs="仿宋_GB2312"/>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 w:type="character" w:customStyle="1" w:styleId="13">
    <w:name w:val="font61"/>
    <w:basedOn w:val="10"/>
    <w:qFormat/>
    <w:uiPriority w:val="0"/>
    <w:rPr>
      <w:rFonts w:hint="eastAsia" w:ascii="宋体" w:hAnsi="宋体" w:eastAsia="宋体" w:cs="宋体"/>
      <w:b/>
      <w:color w:val="000000"/>
      <w:sz w:val="32"/>
      <w:szCs w:val="32"/>
      <w:u w:val="none"/>
    </w:rPr>
  </w:style>
  <w:style w:type="character" w:customStyle="1" w:styleId="14">
    <w:name w:val="font31"/>
    <w:basedOn w:val="10"/>
    <w:qFormat/>
    <w:uiPriority w:val="0"/>
    <w:rPr>
      <w:rFonts w:hint="eastAsia" w:ascii="宋体" w:hAnsi="宋体" w:eastAsia="宋体" w:cs="宋体"/>
      <w:color w:val="000000"/>
      <w:sz w:val="32"/>
      <w:szCs w:val="32"/>
      <w:u w:val="none"/>
    </w:rPr>
  </w:style>
  <w:style w:type="character" w:customStyle="1" w:styleId="15">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2022-02-22T00:38:00Z</dcterms:created>
  <dc:creator>Administrator</dc:creator>
  <cp:lastModifiedBy>汤高付</cp:lastModifiedBy>
  <cp:lastPrinted>2022-03-01T00:52:00Z</cp:lastPrinted>
  <dcterms:modified xsi:type="dcterms:W3CDTF">2024-09-26T01:06:36Z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37A734F9D4B745BAB2F79208D3DDBD0E</vt:lpwstr>
  </property>
</Properties>
</file>