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3D179">
      <w:pPr>
        <w:rPr>
          <w:rFonts w:ascii="仿宋" w:hAnsi="仿宋" w:eastAsia="仿宋"/>
          <w:bCs/>
        </w:rPr>
      </w:pPr>
      <w:r>
        <w:rPr>
          <w:rFonts w:hint="eastAsia" w:ascii="仿宋" w:hAnsi="仿宋" w:eastAsia="仿宋"/>
          <w:bCs/>
        </w:rPr>
        <w:t>附件2：</w:t>
      </w:r>
    </w:p>
    <w:p w14:paraId="3B0440F0">
      <w:pPr>
        <w:rPr>
          <w:rFonts w:hint="eastAsia" w:ascii="黑体" w:hAnsi="黑体" w:eastAsia="黑体"/>
          <w:bCs/>
        </w:rPr>
      </w:pPr>
      <w:r>
        <w:rPr>
          <w:rFonts w:hint="eastAsia" w:ascii="黑体" w:hAnsi="黑体" w:eastAsia="黑体"/>
          <w:bCs/>
        </w:rPr>
        <w:t xml:space="preserve"> </w:t>
      </w:r>
    </w:p>
    <w:p w14:paraId="5AC8C9A2">
      <w:pPr>
        <w:jc w:val="center"/>
        <w:rPr>
          <w:rFonts w:hint="eastAsia" w:ascii="宋体" w:hAnsi="宋体"/>
          <w:b/>
          <w:sz w:val="36"/>
          <w:szCs w:val="36"/>
        </w:rPr>
      </w:pPr>
      <w:r>
        <w:rPr>
          <w:rFonts w:hint="eastAsia" w:ascii="宋体" w:hAnsi="宋体" w:eastAsia="宋体" w:cs="宋体"/>
          <w:b/>
          <w:sz w:val="36"/>
          <w:szCs w:val="36"/>
        </w:rPr>
        <w:t>淮北市水产技术中心2</w:t>
      </w:r>
      <w:r>
        <w:rPr>
          <w:rFonts w:hint="eastAsia" w:ascii="宋体" w:hAnsi="宋体" w:eastAsia="宋体"/>
          <w:b/>
          <w:sz w:val="36"/>
          <w:szCs w:val="36"/>
        </w:rPr>
        <w:t>023</w:t>
      </w:r>
      <w:r>
        <w:rPr>
          <w:rFonts w:hint="eastAsia" w:ascii="宋体" w:hAnsi="宋体" w:eastAsia="宋体" w:cs="宋体"/>
          <w:b/>
          <w:sz w:val="36"/>
          <w:szCs w:val="36"/>
        </w:rPr>
        <w:t>年度一般公共预算财政拨款</w:t>
      </w:r>
      <w:r>
        <w:rPr>
          <w:rFonts w:hint="eastAsia" w:ascii="宋体" w:hAnsi="宋体" w:eastAsia="宋体"/>
          <w:b/>
          <w:sz w:val="36"/>
          <w:szCs w:val="36"/>
        </w:rPr>
        <w:t>“</w:t>
      </w:r>
      <w:r>
        <w:rPr>
          <w:rFonts w:hint="eastAsia" w:ascii="宋体" w:hAnsi="宋体" w:eastAsia="宋体" w:cs="宋体"/>
          <w:b/>
          <w:sz w:val="36"/>
          <w:szCs w:val="36"/>
        </w:rPr>
        <w:t>三公</w:t>
      </w:r>
      <w:r>
        <w:rPr>
          <w:rFonts w:ascii="仿宋_GB2312" w:hAnsi="仿宋_GB2312"/>
          <w:b/>
          <w:sz w:val="36"/>
          <w:szCs w:val="36"/>
        </w:rPr>
        <w:t>”</w:t>
      </w:r>
      <w:r>
        <w:rPr>
          <w:rFonts w:hint="eastAsia" w:ascii="宋体" w:hAnsi="宋体" w:eastAsia="宋体" w:cs="宋体"/>
          <w:b/>
          <w:sz w:val="36"/>
          <w:szCs w:val="36"/>
        </w:rPr>
        <w:t>经费支出决算</w:t>
      </w:r>
    </w:p>
    <w:p w14:paraId="1688A156">
      <w:pPr>
        <w:jc w:val="center"/>
        <w:rPr>
          <w:rFonts w:ascii="楷体_GB2312" w:hAnsi="楷体_GB2312"/>
        </w:rPr>
      </w:pPr>
      <w:r>
        <w:rPr>
          <w:rFonts w:ascii="楷体_GB2312" w:hAnsi="楷体_GB2312"/>
        </w:rPr>
        <w:t xml:space="preserve"> </w:t>
      </w:r>
    </w:p>
    <w:p w14:paraId="35F97046">
      <w:pPr>
        <w:adjustRightInd w:val="0"/>
        <w:snapToGrid w:val="0"/>
        <w:spacing w:line="360" w:lineRule="auto"/>
        <w:jc w:val="center"/>
        <w:rPr>
          <w:rFonts w:ascii="宋体" w:hAnsi="宋体"/>
          <w:sz w:val="6"/>
          <w:szCs w:val="6"/>
        </w:rPr>
      </w:pPr>
      <w:r>
        <w:rPr>
          <w:rFonts w:hint="eastAsia" w:ascii="宋体" w:hAnsi="宋体"/>
          <w:sz w:val="6"/>
          <w:szCs w:val="6"/>
        </w:rPr>
        <w:t xml:space="preserve"> </w:t>
      </w:r>
    </w:p>
    <w:p w14:paraId="141E654A">
      <w:pPr>
        <w:rPr>
          <w:rFonts w:hint="eastAsia" w:ascii="黑体" w:hAnsi="黑体" w:eastAsia="黑体"/>
        </w:rPr>
      </w:pPr>
      <w:r>
        <w:rPr>
          <w:rFonts w:hint="eastAsia" w:ascii="黑体" w:hAnsi="黑体" w:eastAsia="黑体"/>
        </w:rPr>
        <w:t xml:space="preserve">    一、2023年度一般公共预算财政拨款“三公”经费支出决算表</w:t>
      </w:r>
    </w:p>
    <w:p w14:paraId="1D93DC31">
      <w:pPr>
        <w:ind w:firstLine="6080" w:firstLineChars="1900"/>
        <w:rPr>
          <w:rFonts w:hint="eastAsia" w:ascii="黑体" w:hAnsi="黑体" w:eastAsia="黑体"/>
        </w:rPr>
      </w:pPr>
      <w:r>
        <w:rPr>
          <w:rFonts w:ascii="仿宋_GB2312" w:hAnsi="仿宋_GB2312"/>
        </w:rPr>
        <w:t>单位：万</w:t>
      </w:r>
      <w:r>
        <w:rPr>
          <w:rFonts w:hint="eastAsia" w:ascii="宋体" w:hAnsi="宋体" w:eastAsia="宋体" w:cs="宋体"/>
        </w:rPr>
        <w:t>元</w:t>
      </w:r>
    </w:p>
    <w:tbl>
      <w:tblPr>
        <w:tblStyle w:val="5"/>
        <w:tblW w:w="0" w:type="auto"/>
        <w:tblInd w:w="135" w:type="dxa"/>
        <w:tblLayout w:type="fixed"/>
        <w:tblCellMar>
          <w:top w:w="0" w:type="dxa"/>
          <w:left w:w="108" w:type="dxa"/>
          <w:bottom w:w="0" w:type="dxa"/>
          <w:right w:w="108" w:type="dxa"/>
        </w:tblCellMar>
      </w:tblPr>
      <w:tblGrid>
        <w:gridCol w:w="4379"/>
        <w:gridCol w:w="2157"/>
        <w:gridCol w:w="2220"/>
      </w:tblGrid>
      <w:tr w14:paraId="48DDA523">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791202D4">
            <w:pPr>
              <w:widowControl/>
              <w:jc w:val="center"/>
              <w:rPr>
                <w:rFonts w:ascii="宋体" w:hAnsi="宋体"/>
                <w:b/>
                <w:bCs/>
                <w:kern w:val="0"/>
              </w:rPr>
            </w:pPr>
            <w:r>
              <w:rPr>
                <w:rFonts w:hint="eastAsia" w:ascii="宋体" w:hAnsi="宋体" w:eastAsia="宋体" w:cs="宋体"/>
                <w:b/>
                <w:bCs/>
                <w:kern w:val="0"/>
              </w:rPr>
              <w:t>项</w:t>
            </w:r>
            <w:r>
              <w:rPr>
                <w:rFonts w:hint="eastAsia" w:ascii="宋体" w:hAnsi="宋体" w:cs="宋体"/>
                <w:b/>
                <w:bCs/>
                <w:kern w:val="0"/>
              </w:rPr>
              <w:t xml:space="preserve"> </w:t>
            </w:r>
            <w:r>
              <w:rPr>
                <w:rFonts w:hint="eastAsia" w:ascii="宋体" w:hAnsi="宋体" w:eastAsia="宋体" w:cs="宋体"/>
                <w:b/>
                <w:bCs/>
                <w:kern w:val="0"/>
              </w:rPr>
              <w:t xml:space="preserve"> 目</w:t>
            </w:r>
          </w:p>
        </w:tc>
        <w:tc>
          <w:tcPr>
            <w:tcW w:w="2157" w:type="dxa"/>
            <w:tcBorders>
              <w:top w:val="single" w:color="auto" w:sz="4" w:space="0"/>
              <w:left w:val="nil"/>
              <w:bottom w:val="single" w:color="auto" w:sz="4" w:space="0"/>
              <w:right w:val="single" w:color="auto" w:sz="4" w:space="0"/>
            </w:tcBorders>
            <w:vAlign w:val="center"/>
          </w:tcPr>
          <w:p w14:paraId="1537959F">
            <w:pPr>
              <w:widowControl/>
              <w:jc w:val="center"/>
              <w:rPr>
                <w:rFonts w:ascii="宋体" w:hAnsi="宋体"/>
                <w:b/>
                <w:bCs/>
                <w:kern w:val="0"/>
              </w:rPr>
            </w:pPr>
            <w:r>
              <w:rPr>
                <w:rFonts w:hint="eastAsia" w:ascii="宋体" w:hAnsi="宋体" w:eastAsia="宋体" w:cs="宋体"/>
                <w:b/>
                <w:bCs/>
                <w:kern w:val="0"/>
              </w:rPr>
              <w:t>预</w:t>
            </w:r>
            <w:r>
              <w:rPr>
                <w:rFonts w:hint="eastAsia" w:ascii="宋体" w:hAnsi="宋体" w:cs="宋体"/>
                <w:b/>
                <w:bCs/>
                <w:kern w:val="0"/>
              </w:rPr>
              <w:t xml:space="preserve"> </w:t>
            </w:r>
            <w:r>
              <w:rPr>
                <w:rFonts w:hint="eastAsia" w:ascii="宋体" w:hAnsi="宋体" w:eastAsia="宋体" w:cs="宋体"/>
                <w:b/>
                <w:bCs/>
                <w:kern w:val="0"/>
              </w:rPr>
              <w:t>算</w:t>
            </w:r>
            <w:r>
              <w:rPr>
                <w:rFonts w:hint="eastAsia" w:ascii="宋体" w:hAnsi="宋体" w:cs="宋体"/>
                <w:b/>
                <w:bCs/>
                <w:kern w:val="0"/>
              </w:rPr>
              <w:t xml:space="preserve"> </w:t>
            </w:r>
            <w:r>
              <w:rPr>
                <w:rFonts w:hint="eastAsia" w:ascii="宋体" w:hAnsi="宋体" w:eastAsia="宋体" w:cs="宋体"/>
                <w:b/>
                <w:bCs/>
                <w:kern w:val="0"/>
              </w:rPr>
              <w:t>数</w:t>
            </w:r>
          </w:p>
        </w:tc>
        <w:tc>
          <w:tcPr>
            <w:tcW w:w="2220" w:type="dxa"/>
            <w:tcBorders>
              <w:top w:val="single" w:color="auto" w:sz="4" w:space="0"/>
              <w:left w:val="nil"/>
              <w:bottom w:val="single" w:color="auto" w:sz="4" w:space="0"/>
              <w:right w:val="single" w:color="auto" w:sz="4" w:space="0"/>
            </w:tcBorders>
            <w:vAlign w:val="center"/>
          </w:tcPr>
          <w:p w14:paraId="67247239">
            <w:pPr>
              <w:widowControl/>
              <w:jc w:val="center"/>
              <w:rPr>
                <w:rFonts w:ascii="宋体" w:hAnsi="宋体"/>
                <w:b/>
                <w:bCs/>
                <w:kern w:val="0"/>
              </w:rPr>
            </w:pPr>
            <w:r>
              <w:rPr>
                <w:rFonts w:hint="eastAsia" w:ascii="宋体" w:hAnsi="宋体" w:eastAsia="宋体" w:cs="宋体"/>
                <w:b/>
                <w:bCs/>
                <w:kern w:val="0"/>
              </w:rPr>
              <w:t>决</w:t>
            </w:r>
            <w:r>
              <w:rPr>
                <w:rFonts w:hint="eastAsia" w:ascii="宋体" w:hAnsi="宋体" w:cs="宋体"/>
                <w:b/>
                <w:bCs/>
                <w:kern w:val="0"/>
              </w:rPr>
              <w:t xml:space="preserve"> </w:t>
            </w:r>
            <w:r>
              <w:rPr>
                <w:rFonts w:hint="eastAsia" w:ascii="宋体" w:hAnsi="宋体" w:eastAsia="宋体" w:cs="宋体"/>
                <w:b/>
                <w:bCs/>
                <w:kern w:val="0"/>
              </w:rPr>
              <w:t>算</w:t>
            </w:r>
            <w:r>
              <w:rPr>
                <w:rFonts w:hint="eastAsia" w:ascii="宋体" w:hAnsi="宋体" w:cs="宋体"/>
                <w:b/>
                <w:bCs/>
                <w:kern w:val="0"/>
              </w:rPr>
              <w:t xml:space="preserve"> </w:t>
            </w:r>
            <w:r>
              <w:rPr>
                <w:rFonts w:hint="eastAsia" w:ascii="宋体" w:hAnsi="宋体" w:eastAsia="宋体" w:cs="宋体"/>
                <w:b/>
                <w:bCs/>
                <w:kern w:val="0"/>
              </w:rPr>
              <w:t>数</w:t>
            </w:r>
          </w:p>
        </w:tc>
      </w:tr>
      <w:tr w14:paraId="7A36727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1AB7E08">
            <w:pPr>
              <w:widowControl/>
              <w:jc w:val="center"/>
              <w:rPr>
                <w:rFonts w:ascii="宋体" w:hAnsi="宋体"/>
                <w:b/>
                <w:bCs/>
                <w:kern w:val="0"/>
              </w:rPr>
            </w:pPr>
            <w:r>
              <w:rPr>
                <w:rFonts w:hint="eastAsia" w:ascii="宋体" w:hAnsi="宋体" w:eastAsia="宋体" w:cs="宋体"/>
                <w:b/>
                <w:bCs/>
                <w:kern w:val="0"/>
              </w:rPr>
              <w:t>合</w:t>
            </w:r>
            <w:r>
              <w:rPr>
                <w:rFonts w:hint="eastAsia" w:ascii="宋体" w:hAnsi="宋体" w:cs="宋体"/>
                <w:b/>
                <w:bCs/>
                <w:kern w:val="0"/>
              </w:rPr>
              <w:t xml:space="preserve"> </w:t>
            </w:r>
            <w:r>
              <w:rPr>
                <w:rFonts w:hint="eastAsia" w:ascii="宋体" w:hAnsi="宋体" w:eastAsia="宋体" w:cs="宋体"/>
                <w:b/>
                <w:bCs/>
                <w:kern w:val="0"/>
              </w:rPr>
              <w:t xml:space="preserve"> 计</w:t>
            </w:r>
          </w:p>
        </w:tc>
        <w:tc>
          <w:tcPr>
            <w:tcW w:w="2157" w:type="dxa"/>
            <w:tcBorders>
              <w:top w:val="nil"/>
              <w:left w:val="nil"/>
              <w:bottom w:val="single" w:color="auto" w:sz="4" w:space="0"/>
              <w:right w:val="single" w:color="auto" w:sz="4" w:space="0"/>
            </w:tcBorders>
            <w:vAlign w:val="center"/>
          </w:tcPr>
          <w:p w14:paraId="69C56E0D">
            <w:pPr>
              <w:widowControl/>
              <w:jc w:val="center"/>
              <w:rPr>
                <w:rFonts w:ascii="宋体" w:hAnsi="宋体"/>
                <w:b/>
                <w:bCs/>
                <w:kern w:val="0"/>
              </w:rPr>
            </w:pPr>
            <w:r>
              <w:rPr>
                <w:rFonts w:ascii="宋体" w:hAnsi="宋体" w:cs="宋体"/>
                <w:b/>
                <w:bCs/>
                <w:kern w:val="0"/>
                <w:szCs w:val="21"/>
              </w:rPr>
              <w:t>0.1</w:t>
            </w:r>
          </w:p>
        </w:tc>
        <w:tc>
          <w:tcPr>
            <w:tcW w:w="2220" w:type="dxa"/>
            <w:tcBorders>
              <w:top w:val="nil"/>
              <w:left w:val="nil"/>
              <w:bottom w:val="single" w:color="auto" w:sz="4" w:space="0"/>
              <w:right w:val="single" w:color="auto" w:sz="4" w:space="0"/>
            </w:tcBorders>
            <w:vAlign w:val="center"/>
          </w:tcPr>
          <w:p w14:paraId="699A542E">
            <w:pPr>
              <w:widowControl/>
              <w:jc w:val="center"/>
              <w:rPr>
                <w:rFonts w:ascii="宋体" w:hAnsi="宋体"/>
                <w:b/>
                <w:bCs/>
                <w:kern w:val="0"/>
              </w:rPr>
            </w:pPr>
            <w:r>
              <w:rPr>
                <w:rFonts w:ascii="宋体" w:hAnsi="宋体" w:cs="宋体"/>
                <w:b/>
                <w:bCs/>
                <w:kern w:val="0"/>
                <w:szCs w:val="21"/>
              </w:rPr>
              <w:t>0.1</w:t>
            </w:r>
          </w:p>
        </w:tc>
      </w:tr>
      <w:tr w14:paraId="01F9AB2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3A7E683">
            <w:pPr>
              <w:widowControl/>
              <w:jc w:val="left"/>
              <w:rPr>
                <w:rFonts w:ascii="宋体" w:hAnsi="宋体"/>
                <w:kern w:val="0"/>
              </w:rPr>
            </w:pPr>
            <w:r>
              <w:rPr>
                <w:rFonts w:ascii="仿宋_GB2312" w:hAnsi="仿宋_GB2312" w:cs="宋体"/>
                <w:kern w:val="0"/>
              </w:rPr>
              <w:t>因公出国（境）</w:t>
            </w:r>
            <w:r>
              <w:rPr>
                <w:rFonts w:hint="eastAsia" w:ascii="宋体" w:hAnsi="宋体" w:eastAsia="宋体" w:cs="宋体"/>
                <w:kern w:val="0"/>
              </w:rPr>
              <w:t>费</w:t>
            </w:r>
          </w:p>
        </w:tc>
        <w:tc>
          <w:tcPr>
            <w:tcW w:w="2157" w:type="dxa"/>
            <w:tcBorders>
              <w:top w:val="nil"/>
              <w:left w:val="nil"/>
              <w:bottom w:val="single" w:color="auto" w:sz="4" w:space="0"/>
              <w:right w:val="single" w:color="auto" w:sz="4" w:space="0"/>
            </w:tcBorders>
            <w:vAlign w:val="center"/>
          </w:tcPr>
          <w:p w14:paraId="7B75FBE7">
            <w:pPr>
              <w:widowControl/>
              <w:jc w:val="center"/>
              <w:rPr>
                <w:rFonts w:ascii="宋体" w:hAnsi="宋体"/>
                <w:kern w:val="0"/>
              </w:rPr>
            </w:pPr>
            <w:r>
              <w:rPr>
                <w:rFonts w:ascii="宋体" w:cs="宋体"/>
                <w:kern w:val="0"/>
                <w:szCs w:val="21"/>
              </w:rPr>
              <w:t>0</w:t>
            </w:r>
          </w:p>
        </w:tc>
        <w:tc>
          <w:tcPr>
            <w:tcW w:w="2220" w:type="dxa"/>
            <w:tcBorders>
              <w:top w:val="nil"/>
              <w:left w:val="nil"/>
              <w:bottom w:val="single" w:color="auto" w:sz="4" w:space="0"/>
              <w:right w:val="single" w:color="auto" w:sz="4" w:space="0"/>
            </w:tcBorders>
            <w:vAlign w:val="center"/>
          </w:tcPr>
          <w:p w14:paraId="624E9D81">
            <w:pPr>
              <w:widowControl/>
              <w:jc w:val="center"/>
              <w:rPr>
                <w:rFonts w:ascii="宋体" w:hAnsi="宋体"/>
                <w:kern w:val="0"/>
              </w:rPr>
            </w:pPr>
            <w:r>
              <w:rPr>
                <w:rFonts w:ascii="宋体" w:cs="宋体"/>
                <w:kern w:val="0"/>
                <w:szCs w:val="21"/>
              </w:rPr>
              <w:t>0</w:t>
            </w:r>
          </w:p>
        </w:tc>
      </w:tr>
      <w:tr w14:paraId="4A7F5E4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E3CB457">
            <w:pPr>
              <w:widowControl/>
              <w:jc w:val="left"/>
              <w:rPr>
                <w:rFonts w:ascii="宋体" w:hAnsi="宋体"/>
                <w:kern w:val="0"/>
              </w:rPr>
            </w:pPr>
            <w:r>
              <w:rPr>
                <w:rFonts w:ascii="仿宋_GB2312" w:hAnsi="仿宋_GB2312" w:cs="宋体"/>
                <w:kern w:val="0"/>
              </w:rPr>
              <w:t>公务接待</w:t>
            </w:r>
            <w:r>
              <w:rPr>
                <w:rFonts w:hint="eastAsia" w:ascii="宋体" w:hAnsi="宋体" w:eastAsia="宋体" w:cs="宋体"/>
                <w:kern w:val="0"/>
              </w:rPr>
              <w:t>费</w:t>
            </w:r>
          </w:p>
        </w:tc>
        <w:tc>
          <w:tcPr>
            <w:tcW w:w="2157" w:type="dxa"/>
            <w:tcBorders>
              <w:top w:val="nil"/>
              <w:left w:val="nil"/>
              <w:bottom w:val="single" w:color="auto" w:sz="4" w:space="0"/>
              <w:right w:val="single" w:color="auto" w:sz="4" w:space="0"/>
            </w:tcBorders>
            <w:vAlign w:val="center"/>
          </w:tcPr>
          <w:p w14:paraId="67378FDC">
            <w:pPr>
              <w:widowControl/>
              <w:jc w:val="center"/>
              <w:rPr>
                <w:rFonts w:ascii="宋体" w:hAnsi="宋体"/>
                <w:kern w:val="0"/>
              </w:rPr>
            </w:pPr>
            <w:r>
              <w:rPr>
                <w:rFonts w:ascii="宋体" w:hAnsi="宋体" w:cs="宋体"/>
                <w:kern w:val="0"/>
                <w:szCs w:val="21"/>
              </w:rPr>
              <w:t>0.1</w:t>
            </w:r>
          </w:p>
        </w:tc>
        <w:tc>
          <w:tcPr>
            <w:tcW w:w="2220" w:type="dxa"/>
            <w:tcBorders>
              <w:top w:val="nil"/>
              <w:left w:val="nil"/>
              <w:bottom w:val="single" w:color="auto" w:sz="4" w:space="0"/>
              <w:right w:val="single" w:color="auto" w:sz="4" w:space="0"/>
            </w:tcBorders>
            <w:vAlign w:val="center"/>
          </w:tcPr>
          <w:p w14:paraId="6EE717EE">
            <w:pPr>
              <w:widowControl/>
              <w:jc w:val="center"/>
              <w:rPr>
                <w:rFonts w:ascii="宋体" w:hAnsi="宋体"/>
                <w:kern w:val="0"/>
              </w:rPr>
            </w:pPr>
            <w:r>
              <w:rPr>
                <w:rFonts w:ascii="宋体" w:hAnsi="宋体" w:cs="宋体"/>
                <w:kern w:val="0"/>
                <w:szCs w:val="21"/>
              </w:rPr>
              <w:t>0.1</w:t>
            </w:r>
          </w:p>
        </w:tc>
      </w:tr>
      <w:tr w14:paraId="51FED38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4B720339">
            <w:pPr>
              <w:widowControl/>
              <w:jc w:val="left"/>
              <w:rPr>
                <w:rFonts w:ascii="宋体" w:hAnsi="宋体"/>
                <w:kern w:val="0"/>
              </w:rPr>
            </w:pPr>
            <w:r>
              <w:rPr>
                <w:rFonts w:ascii="仿宋_GB2312" w:hAnsi="仿宋_GB2312" w:cs="宋体"/>
                <w:kern w:val="0"/>
              </w:rPr>
              <w:t>公务用车购置及运行维护</w:t>
            </w:r>
            <w:r>
              <w:rPr>
                <w:rFonts w:hint="eastAsia" w:ascii="宋体" w:hAnsi="宋体" w:eastAsia="宋体" w:cs="宋体"/>
                <w:kern w:val="0"/>
              </w:rPr>
              <w:t>费</w:t>
            </w:r>
          </w:p>
        </w:tc>
        <w:tc>
          <w:tcPr>
            <w:tcW w:w="2157" w:type="dxa"/>
            <w:tcBorders>
              <w:top w:val="nil"/>
              <w:left w:val="nil"/>
              <w:bottom w:val="single" w:color="auto" w:sz="4" w:space="0"/>
              <w:right w:val="single" w:color="auto" w:sz="4" w:space="0"/>
            </w:tcBorders>
            <w:vAlign w:val="center"/>
          </w:tcPr>
          <w:p w14:paraId="4D9F670D">
            <w:pPr>
              <w:widowControl/>
              <w:jc w:val="center"/>
              <w:rPr>
                <w:rFonts w:ascii="宋体" w:hAnsi="宋体"/>
                <w:kern w:val="0"/>
              </w:rPr>
            </w:pPr>
            <w:r>
              <w:rPr>
                <w:rFonts w:ascii="宋体" w:cs="宋体"/>
                <w:kern w:val="0"/>
                <w:szCs w:val="21"/>
              </w:rPr>
              <w:t>0</w:t>
            </w:r>
          </w:p>
        </w:tc>
        <w:tc>
          <w:tcPr>
            <w:tcW w:w="2220" w:type="dxa"/>
            <w:tcBorders>
              <w:top w:val="nil"/>
              <w:left w:val="nil"/>
              <w:bottom w:val="single" w:color="auto" w:sz="4" w:space="0"/>
              <w:right w:val="single" w:color="auto" w:sz="4" w:space="0"/>
            </w:tcBorders>
            <w:vAlign w:val="center"/>
          </w:tcPr>
          <w:p w14:paraId="4CBE1721">
            <w:pPr>
              <w:widowControl/>
              <w:jc w:val="center"/>
              <w:rPr>
                <w:rFonts w:ascii="宋体" w:hAnsi="宋体"/>
                <w:kern w:val="0"/>
              </w:rPr>
            </w:pPr>
            <w:r>
              <w:rPr>
                <w:rFonts w:ascii="宋体" w:cs="宋体"/>
                <w:kern w:val="0"/>
                <w:szCs w:val="21"/>
              </w:rPr>
              <w:t>0</w:t>
            </w:r>
          </w:p>
        </w:tc>
      </w:tr>
      <w:tr w14:paraId="5DBE502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04C336C">
            <w:pPr>
              <w:widowControl/>
              <w:jc w:val="left"/>
              <w:rPr>
                <w:rFonts w:ascii="宋体" w:hAnsi="宋体"/>
                <w:kern w:val="0"/>
              </w:rPr>
            </w:pPr>
            <w:r>
              <w:rPr>
                <w:rFonts w:hint="eastAsia" w:ascii="宋体" w:hAnsi="宋体" w:eastAsia="宋体" w:cs="宋体"/>
                <w:kern w:val="0"/>
              </w:rPr>
              <w:t xml:space="preserve">  </w:t>
            </w:r>
            <w:r>
              <w:rPr>
                <w:rFonts w:ascii="仿宋_GB2312" w:hAnsi="仿宋_GB2312" w:cs="宋体"/>
                <w:kern w:val="0"/>
              </w:rPr>
              <w:t>其中：公务用车购置</w:t>
            </w:r>
            <w:r>
              <w:rPr>
                <w:rFonts w:hint="eastAsia" w:ascii="宋体" w:hAnsi="宋体" w:eastAsia="宋体" w:cs="宋体"/>
                <w:kern w:val="0"/>
              </w:rPr>
              <w:t>费</w:t>
            </w:r>
          </w:p>
        </w:tc>
        <w:tc>
          <w:tcPr>
            <w:tcW w:w="2157" w:type="dxa"/>
            <w:tcBorders>
              <w:top w:val="nil"/>
              <w:left w:val="nil"/>
              <w:bottom w:val="single" w:color="auto" w:sz="4" w:space="0"/>
              <w:right w:val="single" w:color="auto" w:sz="4" w:space="0"/>
            </w:tcBorders>
            <w:vAlign w:val="center"/>
          </w:tcPr>
          <w:p w14:paraId="418CD20D">
            <w:pPr>
              <w:widowControl/>
              <w:jc w:val="center"/>
              <w:rPr>
                <w:rFonts w:ascii="宋体" w:hAnsi="宋体"/>
                <w:kern w:val="0"/>
              </w:rPr>
            </w:pPr>
            <w:r>
              <w:rPr>
                <w:rFonts w:ascii="宋体" w:cs="宋体"/>
                <w:kern w:val="0"/>
                <w:szCs w:val="21"/>
              </w:rPr>
              <w:t>0</w:t>
            </w:r>
          </w:p>
        </w:tc>
        <w:tc>
          <w:tcPr>
            <w:tcW w:w="2220" w:type="dxa"/>
            <w:tcBorders>
              <w:top w:val="nil"/>
              <w:left w:val="nil"/>
              <w:bottom w:val="single" w:color="auto" w:sz="4" w:space="0"/>
              <w:right w:val="single" w:color="auto" w:sz="4" w:space="0"/>
            </w:tcBorders>
            <w:vAlign w:val="center"/>
          </w:tcPr>
          <w:p w14:paraId="0CCF32BD">
            <w:pPr>
              <w:widowControl/>
              <w:jc w:val="center"/>
              <w:rPr>
                <w:rFonts w:ascii="宋体" w:hAnsi="宋体"/>
                <w:kern w:val="0"/>
              </w:rPr>
            </w:pPr>
            <w:r>
              <w:rPr>
                <w:rFonts w:ascii="宋体" w:cs="宋体"/>
                <w:kern w:val="0"/>
                <w:szCs w:val="21"/>
              </w:rPr>
              <w:t>0</w:t>
            </w:r>
          </w:p>
        </w:tc>
      </w:tr>
      <w:tr w14:paraId="6CEE44F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5143BA5">
            <w:pPr>
              <w:widowControl/>
              <w:jc w:val="left"/>
              <w:rPr>
                <w:rFonts w:ascii="宋体" w:hAnsi="宋体"/>
                <w:kern w:val="0"/>
              </w:rPr>
            </w:pPr>
            <w:r>
              <w:rPr>
                <w:rFonts w:hint="eastAsia" w:ascii="宋体" w:hAnsi="宋体" w:eastAsia="宋体" w:cs="宋体"/>
                <w:kern w:val="0"/>
              </w:rPr>
              <w:t xml:space="preserve">        </w:t>
            </w:r>
            <w:r>
              <w:rPr>
                <w:rFonts w:ascii="仿宋_GB2312" w:hAnsi="仿宋_GB2312" w:cs="宋体"/>
                <w:kern w:val="0"/>
              </w:rPr>
              <w:t>公务用车运行维护费</w:t>
            </w:r>
            <w:r>
              <w:rPr>
                <w:rFonts w:hint="eastAsia" w:ascii="宋体" w:hAnsi="宋体" w:cs="宋体"/>
                <w:kern w:val="0"/>
              </w:rPr>
              <w:t xml:space="preserve"> </w:t>
            </w:r>
            <w:r>
              <w:rPr>
                <w:rFonts w:hint="eastAsia" w:ascii="宋体" w:hAnsi="宋体" w:eastAsia="宋体" w:cs="宋体"/>
                <w:kern w:val="0"/>
              </w:rPr>
              <w:t xml:space="preserve"> </w:t>
            </w:r>
          </w:p>
        </w:tc>
        <w:tc>
          <w:tcPr>
            <w:tcW w:w="2157" w:type="dxa"/>
            <w:tcBorders>
              <w:top w:val="nil"/>
              <w:left w:val="nil"/>
              <w:bottom w:val="single" w:color="auto" w:sz="4" w:space="0"/>
              <w:right w:val="single" w:color="auto" w:sz="4" w:space="0"/>
            </w:tcBorders>
            <w:vAlign w:val="center"/>
          </w:tcPr>
          <w:p w14:paraId="67D44ED7">
            <w:pPr>
              <w:widowControl/>
              <w:jc w:val="center"/>
              <w:rPr>
                <w:rFonts w:ascii="宋体" w:hAnsi="宋体"/>
                <w:kern w:val="0"/>
              </w:rPr>
            </w:pPr>
            <w:r>
              <w:rPr>
                <w:rFonts w:ascii="宋体" w:cs="宋体"/>
                <w:kern w:val="0"/>
                <w:szCs w:val="21"/>
              </w:rPr>
              <w:t>0</w:t>
            </w:r>
          </w:p>
        </w:tc>
        <w:tc>
          <w:tcPr>
            <w:tcW w:w="2220" w:type="dxa"/>
            <w:tcBorders>
              <w:top w:val="nil"/>
              <w:left w:val="nil"/>
              <w:bottom w:val="single" w:color="auto" w:sz="4" w:space="0"/>
              <w:right w:val="single" w:color="auto" w:sz="4" w:space="0"/>
            </w:tcBorders>
            <w:vAlign w:val="center"/>
          </w:tcPr>
          <w:p w14:paraId="0EA6010A">
            <w:pPr>
              <w:widowControl/>
              <w:jc w:val="center"/>
              <w:rPr>
                <w:rFonts w:ascii="宋体" w:hAnsi="宋体"/>
                <w:kern w:val="0"/>
              </w:rPr>
            </w:pPr>
            <w:r>
              <w:rPr>
                <w:rFonts w:ascii="宋体" w:cs="宋体"/>
                <w:kern w:val="0"/>
                <w:szCs w:val="21"/>
              </w:rPr>
              <w:t>0</w:t>
            </w:r>
          </w:p>
        </w:tc>
      </w:tr>
    </w:tbl>
    <w:p w14:paraId="4A3AE7B4">
      <w:pPr>
        <w:autoSpaceDE w:val="0"/>
        <w:spacing w:line="300" w:lineRule="exact"/>
        <w:rPr>
          <w:rFonts w:hint="eastAsia" w:ascii="仿宋_GB2312" w:hAnsi="仿宋"/>
          <w:sz w:val="21"/>
          <w:szCs w:val="21"/>
        </w:rPr>
      </w:pPr>
      <w:r>
        <w:rPr>
          <w:rFonts w:ascii="仿宋_GB2312" w:hAnsi="仿宋"/>
          <w:sz w:val="21"/>
          <w:szCs w:val="21"/>
        </w:rPr>
        <w:t xml:space="preserve"> </w:t>
      </w:r>
    </w:p>
    <w:p w14:paraId="672DBD05">
      <w:pPr>
        <w:autoSpaceDE w:val="0"/>
        <w:spacing w:line="300" w:lineRule="exact"/>
        <w:rPr>
          <w:rFonts w:ascii="黑体" w:hAnsi="黑体" w:eastAsia="黑体"/>
        </w:rPr>
      </w:pPr>
      <w:r>
        <w:rPr>
          <w:rFonts w:hint="eastAsia" w:ascii="宋体" w:hAnsi="宋体" w:eastAsia="宋体" w:cs="宋体"/>
          <w:sz w:val="21"/>
          <w:szCs w:val="21"/>
        </w:rPr>
        <w:t>注：本表反映部门本年度一般公共预算财政拨款</w:t>
      </w:r>
      <w:r>
        <w:rPr>
          <w:rFonts w:ascii="仿宋_GB2312" w:hAnsi="仿宋_GB2312"/>
          <w:sz w:val="21"/>
          <w:szCs w:val="21"/>
        </w:rPr>
        <w:t>“</w:t>
      </w:r>
      <w:r>
        <w:rPr>
          <w:rFonts w:hint="eastAsia" w:ascii="宋体" w:hAnsi="宋体" w:eastAsia="宋体" w:cs="宋体"/>
          <w:sz w:val="21"/>
          <w:szCs w:val="21"/>
        </w:rPr>
        <w:t>三公</w:t>
      </w:r>
      <w:r>
        <w:rPr>
          <w:rFonts w:ascii="仿宋_GB2312" w:hAnsi="仿宋_GB2312"/>
          <w:sz w:val="21"/>
          <w:szCs w:val="21"/>
        </w:rPr>
        <w:t>”</w:t>
      </w:r>
      <w:r>
        <w:rPr>
          <w:rFonts w:hint="eastAsia" w:ascii="宋体" w:hAnsi="宋体" w:eastAsia="宋体" w:cs="宋体"/>
          <w:sz w:val="21"/>
          <w:szCs w:val="21"/>
        </w:rPr>
        <w:t>经费支出预决算情况。其中，预算数为</w:t>
      </w:r>
      <w:r>
        <w:rPr>
          <w:rFonts w:ascii="仿宋_GB2312" w:hAnsi="仿宋_GB2312"/>
          <w:sz w:val="21"/>
          <w:szCs w:val="21"/>
        </w:rPr>
        <w:t>“</w:t>
      </w:r>
      <w:r>
        <w:rPr>
          <w:rFonts w:hint="eastAsia" w:ascii="宋体" w:hAnsi="宋体" w:eastAsia="宋体" w:cs="宋体"/>
          <w:sz w:val="21"/>
          <w:szCs w:val="21"/>
        </w:rPr>
        <w:t>三公</w:t>
      </w:r>
      <w:r>
        <w:rPr>
          <w:rFonts w:ascii="仿宋_GB2312" w:hAnsi="仿宋_GB2312"/>
          <w:sz w:val="21"/>
          <w:szCs w:val="21"/>
        </w:rPr>
        <w:t>”</w:t>
      </w:r>
      <w:r>
        <w:rPr>
          <w:rFonts w:hint="eastAsia" w:ascii="宋体" w:hAnsi="宋体" w:eastAsia="宋体" w:cs="宋体"/>
          <w:sz w:val="21"/>
          <w:szCs w:val="21"/>
        </w:rPr>
        <w:t>经费全年预算数，反映按规定程序调整后的预算数</w:t>
      </w:r>
      <w:r>
        <w:rPr>
          <w:rFonts w:ascii="仿宋_GB2312" w:hAnsi="仿宋_GB2312"/>
          <w:sz w:val="21"/>
          <w:szCs w:val="21"/>
        </w:rPr>
        <w:t>;</w:t>
      </w:r>
      <w:r>
        <w:rPr>
          <w:rFonts w:hint="eastAsia" w:ascii="宋体" w:hAnsi="宋体" w:eastAsia="宋体" w:cs="宋体"/>
          <w:sz w:val="21"/>
          <w:szCs w:val="21"/>
        </w:rPr>
        <w:t>决算数是包括当年一般公共预算财政拨款和以前年度结转资金安排的实际支出。</w:t>
      </w:r>
      <w:r>
        <w:rPr>
          <w:rFonts w:ascii="仿宋_GB2312" w:hAnsi="仿宋"/>
          <w:sz w:val="21"/>
          <w:szCs w:val="21"/>
        </w:rPr>
        <w:t xml:space="preserve"> </w:t>
      </w:r>
      <w:r>
        <w:rPr>
          <w:rFonts w:ascii="仿宋_GB2312" w:hAnsi="仿宋"/>
        </w:rPr>
        <w:t xml:space="preserve"> </w:t>
      </w:r>
      <w:r>
        <w:rPr>
          <w:rFonts w:hint="eastAsia" w:ascii="黑体" w:hAnsi="黑体" w:eastAsia="黑体"/>
        </w:rPr>
        <w:t xml:space="preserve">                                      </w:t>
      </w:r>
    </w:p>
    <w:p w14:paraId="4BAE641A">
      <w:pPr>
        <w:rPr>
          <w:rFonts w:hint="eastAsia" w:ascii="黑体" w:hAnsi="黑体" w:eastAsia="黑体"/>
        </w:rPr>
      </w:pPr>
      <w:r>
        <w:rPr>
          <w:rFonts w:hint="eastAsia" w:ascii="黑体" w:hAnsi="黑体" w:eastAsia="黑体"/>
        </w:rPr>
        <w:t xml:space="preserve">    二、2023年度一般公共预算财政拨款“三公”经费支出情况说明</w:t>
      </w:r>
    </w:p>
    <w:p w14:paraId="46B08ADF">
      <w:pPr>
        <w:ind w:firstLine="643" w:firstLineChars="200"/>
        <w:rPr>
          <w:rFonts w:hint="eastAsia" w:ascii="仿宋_GB2312" w:hAnsi="仿宋"/>
          <w:b/>
        </w:rPr>
      </w:pPr>
      <w:r>
        <w:rPr>
          <w:rFonts w:hint="eastAsia" w:ascii="宋体" w:hAnsi="宋体" w:eastAsia="宋体" w:cs="宋体"/>
          <w:b/>
        </w:rPr>
        <w:t>（一）一般公共预算财政拨款</w:t>
      </w:r>
      <w:r>
        <w:rPr>
          <w:rFonts w:ascii="仿宋_GB2312" w:hAnsi="仿宋_GB2312"/>
          <w:b/>
        </w:rPr>
        <w:t>“</w:t>
      </w:r>
      <w:r>
        <w:rPr>
          <w:rFonts w:hint="eastAsia" w:ascii="宋体" w:hAnsi="宋体" w:eastAsia="宋体" w:cs="宋体"/>
          <w:b/>
        </w:rPr>
        <w:t>三公</w:t>
      </w:r>
      <w:r>
        <w:rPr>
          <w:rFonts w:ascii="仿宋_GB2312" w:hAnsi="仿宋_GB2312"/>
          <w:b/>
        </w:rPr>
        <w:t>”</w:t>
      </w:r>
      <w:r>
        <w:rPr>
          <w:rFonts w:hint="eastAsia" w:ascii="宋体" w:hAnsi="宋体" w:eastAsia="宋体" w:cs="宋体"/>
          <w:b/>
        </w:rPr>
        <w:t>经费支出决算总体情况说明。</w:t>
      </w:r>
    </w:p>
    <w:p w14:paraId="626C6659">
      <w:pPr>
        <w:ind w:firstLine="640" w:firstLineChars="200"/>
        <w:rPr>
          <w:rFonts w:ascii="仿宋_GB2312" w:hAnsi="仿宋"/>
          <w:szCs w:val="32"/>
        </w:rPr>
      </w:pPr>
      <w:r>
        <w:rPr>
          <w:rFonts w:hint="eastAsia" w:ascii="仿宋_GB2312" w:hAnsi="仿宋"/>
          <w:szCs w:val="32"/>
        </w:rPr>
        <w:t>淮北市水产技术中心</w:t>
      </w:r>
      <w:r>
        <w:rPr>
          <w:rFonts w:ascii="仿宋_GB2312" w:hAnsi="仿宋"/>
          <w:szCs w:val="32"/>
        </w:rPr>
        <w:t>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ascii="仿宋_GB2312" w:hAnsi="仿宋"/>
          <w:szCs w:val="32"/>
        </w:rPr>
        <w:t>0.1</w:t>
      </w:r>
      <w:r>
        <w:rPr>
          <w:rFonts w:hint="eastAsia" w:ascii="仿宋_GB2312" w:hAnsi="仿宋"/>
          <w:szCs w:val="32"/>
        </w:rPr>
        <w:t>万元，支出决算为</w:t>
      </w:r>
      <w:r>
        <w:rPr>
          <w:rFonts w:ascii="仿宋_GB2312" w:hAnsi="仿宋"/>
          <w:szCs w:val="32"/>
        </w:rPr>
        <w:t>0.1</w:t>
      </w:r>
      <w:r>
        <w:rPr>
          <w:rFonts w:hint="eastAsia" w:ascii="仿宋_GB2312" w:hAnsi="仿宋"/>
          <w:szCs w:val="32"/>
        </w:rPr>
        <w:t>万元，完成预算的</w:t>
      </w:r>
      <w:r>
        <w:rPr>
          <w:rFonts w:ascii="仿宋_GB2312" w:hAnsi="仿宋"/>
          <w:szCs w:val="32"/>
        </w:rPr>
        <w:t>100%</w:t>
      </w:r>
      <w:r>
        <w:rPr>
          <w:rFonts w:hint="eastAsia" w:ascii="仿宋_GB2312" w:hAnsi="仿宋"/>
          <w:szCs w:val="32"/>
        </w:rPr>
        <w:t>，</w:t>
      </w:r>
      <w:r>
        <w:rPr>
          <w:rFonts w:hint="eastAsia" w:ascii="宋体" w:hAnsi="宋体"/>
          <w:szCs w:val="32"/>
        </w:rPr>
        <w:t>支出</w:t>
      </w:r>
      <w:r>
        <w:rPr>
          <w:rFonts w:hint="eastAsia" w:ascii="仿宋_GB2312" w:hAnsi="仿宋"/>
          <w:szCs w:val="32"/>
        </w:rPr>
        <w:t>决算数与预算数持平。</w:t>
      </w:r>
    </w:p>
    <w:p w14:paraId="6C132EE5">
      <w:pPr>
        <w:ind w:firstLine="643" w:firstLineChars="200"/>
        <w:rPr>
          <w:rFonts w:ascii="仿宋_GB2312" w:hAnsi="仿宋"/>
          <w:b/>
        </w:rPr>
      </w:pPr>
      <w:r>
        <w:rPr>
          <w:rFonts w:hint="eastAsia" w:ascii="宋体" w:hAnsi="宋体" w:eastAsia="宋体" w:cs="宋体"/>
          <w:b/>
          <w:bCs/>
        </w:rPr>
        <w:t>（二）</w:t>
      </w:r>
      <w:r>
        <w:rPr>
          <w:rFonts w:hint="eastAsia" w:ascii="宋体" w:hAnsi="宋体" w:eastAsia="宋体" w:cs="宋体"/>
          <w:b/>
        </w:rPr>
        <w:t>一般公共预算财政拨款</w:t>
      </w:r>
      <w:r>
        <w:rPr>
          <w:rFonts w:ascii="仿宋_GB2312" w:hAnsi="仿宋_GB2312"/>
          <w:b/>
        </w:rPr>
        <w:t>“</w:t>
      </w:r>
      <w:r>
        <w:rPr>
          <w:rFonts w:hint="eastAsia" w:ascii="宋体" w:hAnsi="宋体" w:eastAsia="宋体" w:cs="宋体"/>
          <w:b/>
        </w:rPr>
        <w:t>三公</w:t>
      </w:r>
      <w:r>
        <w:rPr>
          <w:rFonts w:ascii="仿宋_GB2312" w:hAnsi="仿宋_GB2312"/>
          <w:b/>
        </w:rPr>
        <w:t>”</w:t>
      </w:r>
      <w:r>
        <w:rPr>
          <w:rFonts w:hint="eastAsia" w:ascii="宋体" w:hAnsi="宋体" w:eastAsia="宋体" w:cs="宋体"/>
          <w:b/>
        </w:rPr>
        <w:t>经费支出决算具体情况说明。</w:t>
      </w:r>
    </w:p>
    <w:p w14:paraId="4AB6E591">
      <w:pPr>
        <w:ind w:firstLine="628"/>
        <w:rPr>
          <w:rFonts w:ascii="仿宋_GB2312" w:hAnsi="仿宋"/>
        </w:rPr>
      </w:pPr>
      <w:r>
        <w:rPr>
          <w:rFonts w:hint="eastAsia" w:ascii="仿宋_GB2312" w:hAnsi="仿宋"/>
          <w:szCs w:val="32"/>
        </w:rPr>
        <w:t>淮北市水产技术中心</w:t>
      </w:r>
      <w:r>
        <w:rPr>
          <w:rFonts w:ascii="仿宋_GB2312" w:hAnsi="仿宋"/>
          <w:szCs w:val="32"/>
        </w:rPr>
        <w:t>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ascii="仿宋_GB2312" w:hAnsi="仿宋"/>
          <w:szCs w:val="32"/>
        </w:rPr>
        <w:t>0</w:t>
      </w:r>
      <w:r>
        <w:rPr>
          <w:rFonts w:hint="eastAsia" w:ascii="仿宋_GB2312" w:hAnsi="仿宋"/>
          <w:szCs w:val="32"/>
        </w:rPr>
        <w:t>万元，占</w:t>
      </w:r>
      <w:r>
        <w:rPr>
          <w:rFonts w:ascii="仿宋_GB2312" w:hAnsi="仿宋"/>
          <w:szCs w:val="32"/>
        </w:rPr>
        <w:t>0%;</w:t>
      </w:r>
      <w:r>
        <w:rPr>
          <w:rFonts w:hint="eastAsia" w:ascii="仿宋_GB2312" w:hAnsi="仿宋"/>
          <w:szCs w:val="32"/>
        </w:rPr>
        <w:t>公务接待费支出决算</w:t>
      </w:r>
      <w:r>
        <w:rPr>
          <w:rFonts w:ascii="仿宋_GB2312" w:hAnsi="仿宋"/>
          <w:szCs w:val="32"/>
        </w:rPr>
        <w:t>0.1</w:t>
      </w:r>
      <w:r>
        <w:rPr>
          <w:rFonts w:hint="eastAsia" w:ascii="仿宋_GB2312" w:hAnsi="仿宋"/>
          <w:szCs w:val="32"/>
        </w:rPr>
        <w:t>万元，占</w:t>
      </w:r>
      <w:r>
        <w:rPr>
          <w:rFonts w:ascii="仿宋_GB2312" w:hAnsi="仿宋"/>
          <w:szCs w:val="32"/>
        </w:rPr>
        <w:t>100%</w:t>
      </w:r>
      <w:r>
        <w:rPr>
          <w:rFonts w:hint="eastAsia" w:ascii="仿宋_GB2312" w:hAnsi="仿宋"/>
          <w:szCs w:val="32"/>
        </w:rPr>
        <w:t>；公务用车购置及运行维护费支出决算</w:t>
      </w:r>
      <w:r>
        <w:rPr>
          <w:rFonts w:ascii="仿宋_GB2312" w:hAnsi="仿宋"/>
          <w:szCs w:val="32"/>
        </w:rPr>
        <w:t>0</w:t>
      </w:r>
      <w:r>
        <w:rPr>
          <w:rFonts w:hint="eastAsia" w:ascii="仿宋_GB2312" w:hAnsi="仿宋"/>
          <w:szCs w:val="32"/>
        </w:rPr>
        <w:t>万元，占</w:t>
      </w:r>
      <w:r>
        <w:rPr>
          <w:rFonts w:ascii="仿宋_GB2312" w:hAnsi="仿宋"/>
          <w:szCs w:val="32"/>
        </w:rPr>
        <w:t>0%</w:t>
      </w:r>
      <w:r>
        <w:rPr>
          <w:rFonts w:hint="eastAsia" w:ascii="仿宋_GB2312" w:hAnsi="仿宋"/>
          <w:szCs w:val="32"/>
        </w:rPr>
        <w:t>。具体情况如下</w:t>
      </w:r>
      <w:r>
        <w:rPr>
          <w:rFonts w:hint="eastAsia" w:ascii="仿宋_GB2312" w:hAnsi="仿宋"/>
          <w:szCs w:val="32"/>
          <w:lang w:val="en-US" w:eastAsia="zh-CN"/>
        </w:rPr>
        <w:t xml:space="preserve">      </w:t>
      </w:r>
      <w:r>
        <w:rPr>
          <w:rFonts w:hint="eastAsia" w:ascii="仿宋_GB2312" w:hAnsi="仿宋_GB2312"/>
          <w:b/>
          <w:bCs/>
          <w:lang w:val="en-US" w:eastAsia="zh-CN"/>
        </w:rPr>
        <w:t xml:space="preserve">                                      </w:t>
      </w:r>
      <w:bookmarkStart w:id="0" w:name="_GoBack"/>
      <w:bookmarkEnd w:id="0"/>
      <w:r>
        <w:rPr>
          <w:rFonts w:hint="eastAsia" w:ascii="仿宋_GB2312" w:hAnsi="仿宋_GB2312"/>
          <w:b/>
          <w:bCs/>
          <w:lang w:val="en-US" w:eastAsia="zh-CN"/>
        </w:rPr>
        <w:t>1.</w:t>
      </w:r>
      <w:r>
        <w:rPr>
          <w:rFonts w:hint="eastAsia" w:ascii="宋体" w:hAnsi="宋体" w:eastAsia="宋体" w:cs="宋体"/>
          <w:b/>
          <w:bCs/>
        </w:rPr>
        <w:t>因公出国（境）费</w:t>
      </w:r>
      <w:r>
        <w:rPr>
          <w:rFonts w:hint="eastAsia" w:ascii="宋体" w:hAnsi="宋体"/>
          <w:szCs w:val="32"/>
        </w:rPr>
        <w:t>预算为</w:t>
      </w:r>
      <w:r>
        <w:rPr>
          <w:rFonts w:ascii="宋体"/>
          <w:szCs w:val="32"/>
        </w:rPr>
        <w:t>0</w:t>
      </w:r>
      <w:r>
        <w:rPr>
          <w:rFonts w:hint="eastAsia" w:ascii="宋体" w:hAnsi="宋体"/>
          <w:szCs w:val="32"/>
        </w:rPr>
        <w:t>万元，支出决算为</w:t>
      </w:r>
      <w:r>
        <w:rPr>
          <w:rFonts w:ascii="宋体"/>
          <w:szCs w:val="32"/>
        </w:rPr>
        <w:t>0</w:t>
      </w:r>
      <w:r>
        <w:rPr>
          <w:rFonts w:hint="eastAsia" w:ascii="宋体" w:hAnsi="宋体"/>
          <w:szCs w:val="32"/>
        </w:rPr>
        <w:t>万元，完成预算的</w:t>
      </w:r>
      <w:r>
        <w:rPr>
          <w:rFonts w:ascii="宋体" w:hAnsi="宋体"/>
          <w:szCs w:val="32"/>
        </w:rPr>
        <w:t>100%</w:t>
      </w:r>
      <w:r>
        <w:rPr>
          <w:rFonts w:hint="eastAsia" w:ascii="宋体" w:hAnsi="宋体"/>
          <w:szCs w:val="32"/>
        </w:rPr>
        <w:t>；支出决算数与预算数持平，与</w:t>
      </w:r>
      <w:r>
        <w:rPr>
          <w:rFonts w:ascii="宋体" w:hAnsi="宋体"/>
          <w:szCs w:val="32"/>
        </w:rPr>
        <w:t>202</w:t>
      </w:r>
      <w:r>
        <w:rPr>
          <w:rFonts w:hint="eastAsia" w:ascii="宋体" w:hAnsi="宋体"/>
          <w:szCs w:val="32"/>
          <w:lang w:val="en-US" w:eastAsia="zh-CN"/>
        </w:rPr>
        <w:t>2</w:t>
      </w:r>
      <w:r>
        <w:rPr>
          <w:rFonts w:hint="eastAsia" w:ascii="宋体" w:hAnsi="宋体"/>
          <w:szCs w:val="32"/>
        </w:rPr>
        <w:t>年度相比持平。</w:t>
      </w:r>
      <w:r>
        <w:rPr>
          <w:rFonts w:ascii="宋体" w:hAnsi="宋体"/>
          <w:szCs w:val="32"/>
        </w:rPr>
        <w:t>202</w:t>
      </w:r>
      <w:r>
        <w:rPr>
          <w:rFonts w:hint="eastAsia" w:ascii="宋体" w:hAnsi="宋体"/>
          <w:szCs w:val="32"/>
          <w:lang w:val="en-US" w:eastAsia="zh-CN"/>
        </w:rPr>
        <w:t>3</w:t>
      </w:r>
      <w:r>
        <w:rPr>
          <w:rFonts w:hint="eastAsia" w:ascii="宋体" w:hAnsi="宋体"/>
          <w:szCs w:val="32"/>
        </w:rPr>
        <w:t>年淮北市水产技术中心因公出国（境）团组</w:t>
      </w:r>
      <w:r>
        <w:rPr>
          <w:rFonts w:ascii="宋体"/>
          <w:szCs w:val="32"/>
        </w:rPr>
        <w:t>0</w:t>
      </w:r>
      <w:r>
        <w:rPr>
          <w:rFonts w:hint="eastAsia" w:ascii="宋体" w:hAnsi="宋体"/>
          <w:szCs w:val="32"/>
        </w:rPr>
        <w:t>次，累计出国（境）</w:t>
      </w:r>
      <w:r>
        <w:rPr>
          <w:rFonts w:ascii="宋体"/>
          <w:szCs w:val="32"/>
        </w:rPr>
        <w:t>0</w:t>
      </w:r>
      <w:r>
        <w:rPr>
          <w:rFonts w:hint="eastAsia" w:ascii="宋体" w:hAnsi="宋体"/>
          <w:szCs w:val="32"/>
        </w:rPr>
        <w:t>人次。该项经费根据市外办批准的因公临时出国（境）计划，按照规定标准安排。</w:t>
      </w:r>
      <w:r>
        <w:rPr>
          <w:rFonts w:ascii="仿宋_GB2312" w:hAnsi="仿宋_GB2312"/>
        </w:rPr>
        <w:t>经费使用严格按照《淮北市财政局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r>
        <w:rPr>
          <w:rFonts w:hint="eastAsia" w:ascii="宋体" w:hAnsi="宋体" w:eastAsia="宋体" w:cs="宋体"/>
        </w:rPr>
        <w:t>。</w:t>
      </w:r>
    </w:p>
    <w:p w14:paraId="640BAC59">
      <w:pPr>
        <w:ind w:firstLine="643" w:firstLineChars="200"/>
        <w:rPr>
          <w:rFonts w:ascii="仿宋_GB2312" w:hAnsi="仿宋"/>
        </w:rPr>
      </w:pPr>
      <w:r>
        <w:rPr>
          <w:rFonts w:ascii="仿宋_GB2312" w:hAnsi="仿宋_GB2312"/>
          <w:b/>
          <w:bCs/>
        </w:rPr>
        <w:t>2.</w:t>
      </w:r>
      <w:r>
        <w:rPr>
          <w:rFonts w:hint="eastAsia" w:ascii="宋体" w:hAnsi="宋体" w:eastAsia="宋体" w:cs="宋体"/>
          <w:b/>
          <w:bCs/>
        </w:rPr>
        <w:t>公务接待费</w:t>
      </w:r>
      <w:r>
        <w:rPr>
          <w:rFonts w:ascii="仿宋_GB2312" w:hAnsi="仿宋_GB2312"/>
        </w:rPr>
        <w:t>预算</w:t>
      </w:r>
      <w:r>
        <w:rPr>
          <w:rFonts w:hint="eastAsia" w:ascii="仿宋_GB2312" w:hAnsi="仿宋"/>
          <w:szCs w:val="32"/>
        </w:rPr>
        <w:t>为</w:t>
      </w:r>
      <w:r>
        <w:rPr>
          <w:rFonts w:ascii="仿宋_GB2312" w:hAnsi="仿宋"/>
          <w:szCs w:val="32"/>
        </w:rPr>
        <w:t>0.1</w:t>
      </w:r>
      <w:r>
        <w:rPr>
          <w:rFonts w:hint="eastAsia" w:ascii="仿宋_GB2312" w:hAnsi="仿宋"/>
          <w:szCs w:val="32"/>
        </w:rPr>
        <w:t>万元，支出决算为</w:t>
      </w:r>
      <w:r>
        <w:rPr>
          <w:rFonts w:ascii="仿宋_GB2312" w:hAnsi="仿宋"/>
          <w:szCs w:val="32"/>
        </w:rPr>
        <w:t>0.1</w:t>
      </w:r>
      <w:r>
        <w:rPr>
          <w:rFonts w:hint="eastAsia" w:ascii="仿宋_GB2312" w:hAnsi="仿宋"/>
          <w:szCs w:val="32"/>
        </w:rPr>
        <w:t>万元，完成预算的</w:t>
      </w:r>
      <w:r>
        <w:rPr>
          <w:rFonts w:ascii="仿宋_GB2312" w:hAnsi="仿宋"/>
          <w:szCs w:val="32"/>
        </w:rPr>
        <w:t>100%</w:t>
      </w:r>
      <w:r>
        <w:rPr>
          <w:rFonts w:hint="eastAsia" w:ascii="仿宋_GB2312" w:hAnsi="仿宋"/>
          <w:szCs w:val="32"/>
        </w:rPr>
        <w:t>；</w:t>
      </w:r>
      <w:r>
        <w:rPr>
          <w:rFonts w:hint="eastAsia" w:ascii="宋体" w:hAnsi="宋体"/>
          <w:szCs w:val="32"/>
        </w:rPr>
        <w:t>支出决算数与预算数持平，</w:t>
      </w:r>
      <w:r>
        <w:rPr>
          <w:rFonts w:hint="eastAsia" w:ascii="仿宋_GB2312" w:hAnsi="仿宋"/>
          <w:szCs w:val="32"/>
        </w:rPr>
        <w:t>与</w:t>
      </w:r>
      <w:r>
        <w:rPr>
          <w:rFonts w:ascii="仿宋_GB2312" w:hAnsi="仿宋"/>
          <w:szCs w:val="32"/>
        </w:rPr>
        <w:t>202</w:t>
      </w:r>
      <w:r>
        <w:rPr>
          <w:rFonts w:hint="eastAsia" w:ascii="仿宋_GB2312" w:hAnsi="仿宋"/>
          <w:szCs w:val="32"/>
          <w:lang w:val="en-US" w:eastAsia="zh-CN"/>
        </w:rPr>
        <w:t>2</w:t>
      </w:r>
      <w:r>
        <w:rPr>
          <w:rFonts w:hint="eastAsia" w:ascii="仿宋_GB2312" w:hAnsi="仿宋"/>
          <w:szCs w:val="32"/>
        </w:rPr>
        <w:t>年度相比，持平。</w:t>
      </w:r>
      <w:r>
        <w:rPr>
          <w:rFonts w:ascii="仿宋_GB2312" w:hAnsi="仿宋"/>
          <w:szCs w:val="32"/>
        </w:rPr>
        <w:t>202</w:t>
      </w:r>
      <w:r>
        <w:rPr>
          <w:rFonts w:hint="eastAsia" w:ascii="仿宋_GB2312" w:hAnsi="仿宋"/>
          <w:szCs w:val="32"/>
          <w:lang w:val="en-US" w:eastAsia="zh-CN"/>
        </w:rPr>
        <w:t>3</w:t>
      </w:r>
      <w:r>
        <w:rPr>
          <w:rFonts w:hint="eastAsia" w:ascii="仿宋_GB2312" w:hAnsi="仿宋"/>
          <w:szCs w:val="32"/>
        </w:rPr>
        <w:t>年淮北市水产技术中心国内公务接待共</w:t>
      </w:r>
      <w:r>
        <w:rPr>
          <w:rFonts w:ascii="仿宋_GB2312" w:hAnsi="仿宋"/>
          <w:szCs w:val="32"/>
        </w:rPr>
        <w:t>1</w:t>
      </w:r>
      <w:r>
        <w:rPr>
          <w:rFonts w:hint="eastAsia" w:ascii="仿宋_GB2312" w:hAnsi="仿宋"/>
          <w:szCs w:val="32"/>
        </w:rPr>
        <w:t>批次（其中外事接待</w:t>
      </w:r>
      <w:r>
        <w:rPr>
          <w:rFonts w:ascii="仿宋_GB2312" w:hAnsi="仿宋"/>
          <w:szCs w:val="32"/>
        </w:rPr>
        <w:t>0</w:t>
      </w:r>
      <w:r>
        <w:rPr>
          <w:rFonts w:hint="eastAsia" w:ascii="仿宋_GB2312" w:hAnsi="仿宋"/>
          <w:szCs w:val="32"/>
        </w:rPr>
        <w:t>批次），</w:t>
      </w:r>
      <w:r>
        <w:rPr>
          <w:rFonts w:ascii="仿宋_GB2312" w:hAnsi="仿宋"/>
          <w:szCs w:val="32"/>
        </w:rPr>
        <w:t>7</w:t>
      </w:r>
      <w:r>
        <w:rPr>
          <w:rFonts w:hint="eastAsia" w:ascii="仿宋_GB2312" w:hAnsi="仿宋"/>
          <w:szCs w:val="32"/>
        </w:rPr>
        <w:t>人次（其中外事接待</w:t>
      </w:r>
      <w:r>
        <w:rPr>
          <w:rFonts w:ascii="仿宋_GB2312" w:hAnsi="仿宋"/>
          <w:szCs w:val="32"/>
        </w:rPr>
        <w:t>0</w:t>
      </w:r>
      <w:r>
        <w:rPr>
          <w:rFonts w:hint="eastAsia" w:ascii="仿宋_GB2312" w:hAnsi="仿宋"/>
          <w:szCs w:val="32"/>
        </w:rPr>
        <w:t>人次）。主要是用于</w:t>
      </w:r>
      <w:r>
        <w:rPr>
          <w:rFonts w:hint="eastAsia" w:ascii="仿宋_GB2312" w:hAnsi="仿宋"/>
          <w:szCs w:val="32"/>
          <w:lang w:eastAsia="zh-CN"/>
        </w:rPr>
        <w:t>淮北市开展水生动物疫病监测采样工作</w:t>
      </w:r>
      <w:r>
        <w:rPr>
          <w:rFonts w:hint="eastAsia" w:ascii="仿宋_GB2312" w:hAnsi="仿宋"/>
          <w:szCs w:val="32"/>
        </w:rPr>
        <w:t>。</w:t>
      </w:r>
      <w:r>
        <w:rPr>
          <w:rFonts w:ascii="仿宋_GB2312" w:hAnsi="仿宋_GB2312"/>
        </w:rPr>
        <w:t>经费使用贯彻中央八项规定精神和省委实</w:t>
      </w:r>
      <w:r>
        <w:rPr>
          <w:rFonts w:ascii="仿宋_GB2312" w:hAnsi="仿宋_GB2312" w:cs="宋体"/>
          <w:color w:val="282828"/>
          <w:kern w:val="0"/>
        </w:rPr>
        <w:t>施细则</w:t>
      </w:r>
      <w:r>
        <w:rPr>
          <w:rFonts w:ascii="仿宋_GB2312" w:hAnsi="仿宋_GB231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r>
        <w:rPr>
          <w:rFonts w:hint="eastAsia" w:ascii="宋体" w:hAnsi="宋体" w:eastAsia="宋体" w:cs="宋体"/>
        </w:rPr>
        <w:t>。</w:t>
      </w:r>
    </w:p>
    <w:p w14:paraId="0C390675">
      <w:pPr>
        <w:ind w:firstLine="643" w:firstLineChars="200"/>
        <w:rPr>
          <w:rFonts w:ascii="宋体"/>
        </w:rPr>
      </w:pPr>
      <w:r>
        <w:rPr>
          <w:rFonts w:ascii="仿宋_GB2312" w:hAnsi="仿宋_GB2312"/>
          <w:b/>
          <w:bCs/>
        </w:rPr>
        <w:t>3.</w:t>
      </w:r>
      <w:r>
        <w:rPr>
          <w:rFonts w:hint="eastAsia" w:ascii="宋体" w:hAnsi="宋体" w:eastAsia="宋体" w:cs="宋体"/>
          <w:b/>
          <w:bCs/>
        </w:rPr>
        <w:t>公务用车购置及运行维护费</w:t>
      </w:r>
      <w:r>
        <w:rPr>
          <w:rFonts w:ascii="仿宋_GB2312" w:hAnsi="仿宋_GB2312"/>
        </w:rPr>
        <w:t>预算为</w:t>
      </w:r>
      <w:r>
        <w:rPr>
          <w:rFonts w:ascii="宋体"/>
          <w:szCs w:val="32"/>
        </w:rPr>
        <w:t>0</w:t>
      </w:r>
      <w:r>
        <w:rPr>
          <w:rFonts w:hint="eastAsia" w:ascii="宋体" w:hAnsi="宋体"/>
          <w:szCs w:val="32"/>
        </w:rPr>
        <w:t>万元，支出决算为</w:t>
      </w:r>
      <w:r>
        <w:rPr>
          <w:rFonts w:ascii="宋体" w:hAnsi="宋体"/>
          <w:szCs w:val="32"/>
        </w:rPr>
        <w:t xml:space="preserve"> 0</w:t>
      </w:r>
      <w:r>
        <w:rPr>
          <w:rFonts w:hint="eastAsia" w:ascii="宋体" w:hAnsi="宋体"/>
          <w:szCs w:val="32"/>
        </w:rPr>
        <w:t>万元，完成预算的</w:t>
      </w:r>
      <w:r>
        <w:rPr>
          <w:rFonts w:ascii="宋体" w:hAnsi="宋体"/>
          <w:szCs w:val="32"/>
        </w:rPr>
        <w:t>100%</w:t>
      </w:r>
      <w:r>
        <w:rPr>
          <w:rFonts w:hint="eastAsia" w:ascii="宋体" w:hAnsi="宋体"/>
          <w:szCs w:val="32"/>
        </w:rPr>
        <w:t>；支出决算数与预算数持平，与</w:t>
      </w:r>
      <w:r>
        <w:rPr>
          <w:rFonts w:ascii="宋体" w:hAnsi="宋体"/>
          <w:szCs w:val="32"/>
        </w:rPr>
        <w:t>202</w:t>
      </w:r>
      <w:r>
        <w:rPr>
          <w:rFonts w:hint="eastAsia" w:ascii="宋体" w:hAnsi="宋体"/>
          <w:szCs w:val="32"/>
          <w:lang w:val="en-US" w:eastAsia="zh-CN"/>
        </w:rPr>
        <w:t>2</w:t>
      </w:r>
      <w:r>
        <w:rPr>
          <w:rFonts w:hint="eastAsia" w:ascii="宋体" w:hAnsi="宋体"/>
          <w:szCs w:val="32"/>
        </w:rPr>
        <w:t>年度相比，持平。淮北市水产技术中心</w:t>
      </w:r>
      <w:r>
        <w:rPr>
          <w:rFonts w:ascii="宋体" w:hAnsi="宋体"/>
          <w:szCs w:val="32"/>
        </w:rPr>
        <w:t>202</w:t>
      </w:r>
      <w:r>
        <w:rPr>
          <w:rFonts w:hint="eastAsia" w:ascii="宋体" w:hAnsi="宋体"/>
          <w:szCs w:val="32"/>
          <w:lang w:val="en-US" w:eastAsia="zh-CN"/>
        </w:rPr>
        <w:t>3</w:t>
      </w:r>
      <w:r>
        <w:rPr>
          <w:rFonts w:hint="eastAsia" w:ascii="宋体" w:hAnsi="宋体"/>
          <w:szCs w:val="32"/>
        </w:rPr>
        <w:t>年没有安排公务用车购置费。公务用车运行维护费预算为</w:t>
      </w:r>
      <w:r>
        <w:rPr>
          <w:rFonts w:ascii="宋体"/>
          <w:szCs w:val="32"/>
        </w:rPr>
        <w:t>0</w:t>
      </w:r>
      <w:r>
        <w:rPr>
          <w:rFonts w:hint="eastAsia" w:ascii="宋体" w:hAnsi="宋体"/>
          <w:szCs w:val="32"/>
        </w:rPr>
        <w:t>万元，支出决算为</w:t>
      </w:r>
      <w:r>
        <w:rPr>
          <w:rFonts w:ascii="宋体"/>
          <w:szCs w:val="32"/>
        </w:rPr>
        <w:t>0</w:t>
      </w:r>
      <w:r>
        <w:rPr>
          <w:rFonts w:hint="eastAsia" w:ascii="宋体" w:hAnsi="宋体"/>
          <w:szCs w:val="32"/>
        </w:rPr>
        <w:t>万元，完成预算的</w:t>
      </w:r>
      <w:r>
        <w:rPr>
          <w:rFonts w:ascii="宋体" w:hAnsi="宋体"/>
          <w:szCs w:val="32"/>
        </w:rPr>
        <w:t>100%</w:t>
      </w:r>
      <w:r>
        <w:rPr>
          <w:rFonts w:hint="eastAsia" w:ascii="宋体" w:hAnsi="宋体"/>
          <w:szCs w:val="32"/>
        </w:rPr>
        <w:t>；支出决算数与预算数持平，与</w:t>
      </w:r>
      <w:r>
        <w:rPr>
          <w:rFonts w:ascii="宋体" w:hAnsi="宋体"/>
          <w:szCs w:val="32"/>
        </w:rPr>
        <w:t>202</w:t>
      </w:r>
      <w:r>
        <w:rPr>
          <w:rFonts w:hint="eastAsia" w:ascii="宋体" w:hAnsi="宋体"/>
          <w:szCs w:val="32"/>
          <w:lang w:val="en-US" w:eastAsia="zh-CN"/>
        </w:rPr>
        <w:t>2</w:t>
      </w:r>
      <w:r>
        <w:rPr>
          <w:rFonts w:hint="eastAsia" w:ascii="宋体" w:hAnsi="宋体"/>
          <w:szCs w:val="32"/>
        </w:rPr>
        <w:t>年度预决算相比持平。截至</w:t>
      </w:r>
      <w:r>
        <w:rPr>
          <w:rFonts w:ascii="宋体" w:hAnsi="宋体"/>
          <w:szCs w:val="32"/>
        </w:rPr>
        <w:t>202</w:t>
      </w:r>
      <w:r>
        <w:rPr>
          <w:rFonts w:hint="eastAsia" w:ascii="宋体" w:hAnsi="宋体"/>
          <w:szCs w:val="32"/>
          <w:lang w:val="en-US" w:eastAsia="zh-CN"/>
        </w:rPr>
        <w:t>3</w:t>
      </w:r>
      <w:r>
        <w:rPr>
          <w:rFonts w:hint="eastAsia" w:ascii="宋体" w:hAnsi="宋体"/>
          <w:szCs w:val="32"/>
        </w:rPr>
        <w:t>年</w:t>
      </w:r>
      <w:r>
        <w:rPr>
          <w:rFonts w:ascii="宋体" w:hAnsi="宋体"/>
          <w:szCs w:val="32"/>
        </w:rPr>
        <w:t>12</w:t>
      </w:r>
      <w:r>
        <w:rPr>
          <w:rFonts w:hint="eastAsia" w:ascii="宋体" w:hAnsi="宋体"/>
          <w:szCs w:val="32"/>
        </w:rPr>
        <w:t>月</w:t>
      </w:r>
      <w:r>
        <w:rPr>
          <w:rFonts w:ascii="宋体" w:hAnsi="宋体"/>
          <w:szCs w:val="32"/>
        </w:rPr>
        <w:t>31</w:t>
      </w:r>
      <w:r>
        <w:rPr>
          <w:rFonts w:hint="eastAsia" w:ascii="宋体" w:hAnsi="宋体"/>
          <w:szCs w:val="32"/>
        </w:rPr>
        <w:t>日，淮北市水产技术中心开支财政拨款的公务用车保有量为</w:t>
      </w:r>
      <w:r>
        <w:rPr>
          <w:rFonts w:ascii="宋体"/>
          <w:szCs w:val="32"/>
        </w:rPr>
        <w:t>0</w:t>
      </w:r>
      <w:r>
        <w:rPr>
          <w:rFonts w:hint="eastAsia" w:ascii="宋体" w:hAnsi="宋体"/>
          <w:szCs w:val="32"/>
        </w:rPr>
        <w:t>辆。</w:t>
      </w:r>
    </w:p>
    <w:p w14:paraId="1733C3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NlZTg3NTlhNjBkZjYwM2U4NWIzMTRlMDlmYjQxMDcifQ=="/>
  </w:docVars>
  <w:rsids>
    <w:rsidRoot w:val="00D303BC"/>
    <w:rsid w:val="00143BB1"/>
    <w:rsid w:val="00187C86"/>
    <w:rsid w:val="001F7862"/>
    <w:rsid w:val="002053FA"/>
    <w:rsid w:val="00216862"/>
    <w:rsid w:val="00222316"/>
    <w:rsid w:val="00231C2E"/>
    <w:rsid w:val="002B40F8"/>
    <w:rsid w:val="002C2842"/>
    <w:rsid w:val="002E1EE5"/>
    <w:rsid w:val="002F6DE8"/>
    <w:rsid w:val="00326726"/>
    <w:rsid w:val="003377A4"/>
    <w:rsid w:val="003547B8"/>
    <w:rsid w:val="003671B4"/>
    <w:rsid w:val="00372E7B"/>
    <w:rsid w:val="00387844"/>
    <w:rsid w:val="003B6E2C"/>
    <w:rsid w:val="003C3B0D"/>
    <w:rsid w:val="004157BC"/>
    <w:rsid w:val="00461FB7"/>
    <w:rsid w:val="00497C22"/>
    <w:rsid w:val="004D6484"/>
    <w:rsid w:val="004D7B64"/>
    <w:rsid w:val="00556B5D"/>
    <w:rsid w:val="005711BF"/>
    <w:rsid w:val="005B2B13"/>
    <w:rsid w:val="005D162C"/>
    <w:rsid w:val="005E46D2"/>
    <w:rsid w:val="0061021A"/>
    <w:rsid w:val="00613D73"/>
    <w:rsid w:val="00621921"/>
    <w:rsid w:val="006468AF"/>
    <w:rsid w:val="00656EC6"/>
    <w:rsid w:val="00670146"/>
    <w:rsid w:val="006B3BF0"/>
    <w:rsid w:val="006F068A"/>
    <w:rsid w:val="00704ECC"/>
    <w:rsid w:val="0074528A"/>
    <w:rsid w:val="00767D4A"/>
    <w:rsid w:val="007719A9"/>
    <w:rsid w:val="00793A90"/>
    <w:rsid w:val="008253D2"/>
    <w:rsid w:val="00892D80"/>
    <w:rsid w:val="008A3C6F"/>
    <w:rsid w:val="009770F9"/>
    <w:rsid w:val="009A5FA6"/>
    <w:rsid w:val="009D2B9A"/>
    <w:rsid w:val="009D5D9F"/>
    <w:rsid w:val="009F1AFB"/>
    <w:rsid w:val="00A00C09"/>
    <w:rsid w:val="00A92496"/>
    <w:rsid w:val="00AB0278"/>
    <w:rsid w:val="00AC4717"/>
    <w:rsid w:val="00AE030C"/>
    <w:rsid w:val="00AF1F19"/>
    <w:rsid w:val="00B14CD1"/>
    <w:rsid w:val="00B2159B"/>
    <w:rsid w:val="00B3005F"/>
    <w:rsid w:val="00B34BE3"/>
    <w:rsid w:val="00B40153"/>
    <w:rsid w:val="00B72524"/>
    <w:rsid w:val="00BF6B34"/>
    <w:rsid w:val="00C664EF"/>
    <w:rsid w:val="00CC7449"/>
    <w:rsid w:val="00CE25D9"/>
    <w:rsid w:val="00D2629D"/>
    <w:rsid w:val="00D303BC"/>
    <w:rsid w:val="00D9784E"/>
    <w:rsid w:val="00DA2A90"/>
    <w:rsid w:val="00DB321D"/>
    <w:rsid w:val="00E02B6D"/>
    <w:rsid w:val="00EA5019"/>
    <w:rsid w:val="00ED2336"/>
    <w:rsid w:val="00F14537"/>
    <w:rsid w:val="00F41429"/>
    <w:rsid w:val="00FC29F2"/>
    <w:rsid w:val="058D30AA"/>
    <w:rsid w:val="0FF217AC"/>
    <w:rsid w:val="18242EF9"/>
    <w:rsid w:val="28176351"/>
    <w:rsid w:val="4F88499E"/>
    <w:rsid w:val="64B308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0"/>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jc w:val="center"/>
    </w:pPr>
    <w:rPr>
      <w:rFonts w:eastAsia="黑体"/>
      <w:sz w:val="36"/>
    </w:rPr>
  </w:style>
  <w:style w:type="paragraph" w:styleId="3">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Footer Char"/>
    <w:basedOn w:val="6"/>
    <w:link w:val="3"/>
    <w:semiHidden/>
    <w:qFormat/>
    <w:locked/>
    <w:uiPriority w:val="99"/>
    <w:rPr>
      <w:rFonts w:cs="Times New Roman"/>
      <w:sz w:val="18"/>
      <w:szCs w:val="18"/>
    </w:rPr>
  </w:style>
  <w:style w:type="character" w:customStyle="1" w:styleId="8">
    <w:name w:val="Header Char"/>
    <w:basedOn w:val="6"/>
    <w:link w:val="4"/>
    <w:semiHidden/>
    <w:qFormat/>
    <w:locked/>
    <w:uiPriority w:val="99"/>
    <w:rPr>
      <w:rFonts w:cs="Times New Roman"/>
      <w:sz w:val="18"/>
      <w:szCs w:val="18"/>
    </w:rPr>
  </w:style>
  <w:style w:type="character" w:customStyle="1" w:styleId="9">
    <w:name w:val="Body Text Char"/>
    <w:basedOn w:val="6"/>
    <w:link w:val="2"/>
    <w:semiHidden/>
    <w:qFormat/>
    <w:locked/>
    <w:uiPriority w:val="99"/>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1171</Words>
  <Characters>1273</Characters>
  <Lines>0</Lines>
  <Paragraphs>0</Paragraphs>
  <TotalTime>4</TotalTime>
  <ScaleCrop>false</ScaleCrop>
  <LinksUpToDate>false</LinksUpToDate>
  <CharactersWithSpaces>1377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羊一只</cp:lastModifiedBy>
  <cp:lastPrinted>2020-09-14T08:17:00Z</cp:lastPrinted>
  <dcterms:modified xsi:type="dcterms:W3CDTF">2024-09-13T08:43:45Z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95B7D7A6868D44358BC8FEE951F652F5</vt:lpwstr>
  </property>
</Properties>
</file>