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B9C25">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59499673"/>
    <w:p w14:paraId="465F2FAC"/>
    <w:p w14:paraId="3C4C1C40"/>
    <w:p w14:paraId="00E42F3F"/>
    <w:p w14:paraId="19097475"/>
    <w:p w14:paraId="3E022EB8"/>
    <w:p w14:paraId="67F6D908"/>
    <w:p w14:paraId="40B51FDE"/>
    <w:p w14:paraId="0FD4ED41">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华文中宋" w:hAnsi="华文中宋" w:eastAsia="华文中宋" w:cs="华文中宋"/>
          <w:b/>
          <w:sz w:val="48"/>
          <w:szCs w:val="48"/>
        </w:rPr>
        <w:t>水产技术中心</w:t>
      </w:r>
      <w:r>
        <w:rPr>
          <w:rFonts w:hint="eastAsia" w:ascii="TimesNewRoman" w:hAnsi="TimesNewRoman" w:eastAsia="华文中宋" w:cs="TimesNewRoman"/>
          <w:b/>
          <w:sz w:val="44"/>
          <w:szCs w:val="44"/>
        </w:rPr>
        <w:t>2024年</w:t>
      </w:r>
    </w:p>
    <w:p w14:paraId="59023D5F">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部门预算</w:t>
      </w:r>
    </w:p>
    <w:p w14:paraId="0D18B667"/>
    <w:p w14:paraId="413D1D76"/>
    <w:p w14:paraId="4370D73A"/>
    <w:p w14:paraId="6C6D3D12"/>
    <w:p w14:paraId="66599DC2"/>
    <w:p w14:paraId="2A9D7C29"/>
    <w:p w14:paraId="37C3BAF1"/>
    <w:p w14:paraId="12D57493"/>
    <w:p w14:paraId="20B2B802"/>
    <w:p w14:paraId="1E0BAD17"/>
    <w:p w14:paraId="1AF38141"/>
    <w:p w14:paraId="27403398"/>
    <w:p w14:paraId="49E3DFF5"/>
    <w:p w14:paraId="21DBB93B"/>
    <w:p w14:paraId="08BD7376"/>
    <w:p w14:paraId="2C46C5B7"/>
    <w:p w14:paraId="12BD84E7"/>
    <w:p w14:paraId="0084E016"/>
    <w:p w14:paraId="07DB9661"/>
    <w:p w14:paraId="3A2AFD8A"/>
    <w:p w14:paraId="3EF037A6"/>
    <w:p w14:paraId="4DF1EB04"/>
    <w:p w14:paraId="3497AB95">
      <w:pPr>
        <w:pStyle w:val="4"/>
        <w:adjustRightInd w:val="0"/>
        <w:snapToGrid w:val="0"/>
        <w:spacing w:line="560" w:lineRule="exact"/>
        <w:jc w:val="center"/>
        <w:rPr>
          <w:rFonts w:ascii="TimesNewRoman" w:hAnsi="TimesNewRoman" w:eastAsia="黑体" w:cs="TimesNewRoman"/>
          <w:bCs/>
          <w:sz w:val="44"/>
          <w:szCs w:val="44"/>
        </w:rPr>
      </w:pPr>
    </w:p>
    <w:p w14:paraId="1CEF031B">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w:t>
      </w:r>
      <w:r>
        <w:rPr>
          <w:rFonts w:hint="eastAsia" w:ascii="TimesNewRoman" w:hAnsi="TimesNewRoman" w:eastAsia="黑体" w:cs="TimesNewRoman"/>
          <w:bCs/>
          <w:sz w:val="44"/>
          <w:szCs w:val="44"/>
          <w:lang w:val="en-US" w:eastAsia="zh-CN"/>
        </w:rPr>
        <w:t>3</w:t>
      </w:r>
      <w:r>
        <w:rPr>
          <w:rFonts w:hint="eastAsia" w:ascii="TimesNewRoman" w:hAnsi="TimesNewRoman" w:eastAsia="黑体" w:cs="TimesNewRoman"/>
          <w:bCs/>
          <w:sz w:val="44"/>
          <w:szCs w:val="44"/>
        </w:rPr>
        <w:t>月</w:t>
      </w:r>
    </w:p>
    <w:p w14:paraId="2846C456"/>
    <w:p w14:paraId="0A6466E9"/>
    <w:p w14:paraId="64DE13C1">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10C682E7"/>
    <w:p w14:paraId="02D22AE2">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部门概况</w:t>
      </w:r>
    </w:p>
    <w:p w14:paraId="60E8606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51D43B9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2、部门预算构成</w:t>
      </w:r>
    </w:p>
    <w:p w14:paraId="3EFCDB8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14:paraId="7C2EC1C7">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2024年部门预算表</w:t>
      </w:r>
    </w:p>
    <w:p w14:paraId="15167A9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ascii="??_GB2312" w:hAnsi="仿宋" w:eastAsia="Times New Roman" w:cs="仿宋"/>
          <w:bCs/>
          <w:sz w:val="32"/>
          <w:szCs w:val="32"/>
        </w:rPr>
        <w:t>水产技术中心</w:t>
      </w:r>
      <w:r>
        <w:rPr>
          <w:rFonts w:hint="eastAsia" w:ascii="TimesNewRoman" w:hAnsi="TimesNewRoman" w:eastAsia="仿宋_GB2312" w:cs="TimesNewRoman"/>
          <w:bCs/>
          <w:sz w:val="32"/>
          <w:szCs w:val="32"/>
        </w:rPr>
        <w:t>2024年收支总表</w:t>
      </w:r>
    </w:p>
    <w:p w14:paraId="6A55EAE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ascii="??_GB2312" w:hAnsi="仿宋" w:eastAsia="Times New Roman" w:cs="仿宋"/>
          <w:bCs/>
          <w:sz w:val="32"/>
          <w:szCs w:val="32"/>
        </w:rPr>
        <w:t>水产技术中心</w:t>
      </w:r>
      <w:r>
        <w:rPr>
          <w:rFonts w:hint="eastAsia" w:ascii="TimesNewRoman" w:hAnsi="TimesNewRoman" w:eastAsia="仿宋_GB2312" w:cs="TimesNewRoman"/>
          <w:bCs/>
          <w:sz w:val="32"/>
          <w:szCs w:val="32"/>
        </w:rPr>
        <w:t>2024年收入总表</w:t>
      </w:r>
    </w:p>
    <w:p w14:paraId="7A4E0F2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ascii="??_GB2312" w:hAnsi="仿宋" w:eastAsia="Times New Roman" w:cs="仿宋"/>
          <w:bCs/>
          <w:sz w:val="32"/>
          <w:szCs w:val="32"/>
        </w:rPr>
        <w:t>水产技术中心</w:t>
      </w:r>
      <w:r>
        <w:rPr>
          <w:rFonts w:hint="eastAsia" w:ascii="TimesNewRoman" w:hAnsi="TimesNewRoman" w:eastAsia="仿宋_GB2312" w:cs="TimesNewRoman"/>
          <w:bCs/>
          <w:sz w:val="32"/>
          <w:szCs w:val="32"/>
        </w:rPr>
        <w:t>2024年支出总表</w:t>
      </w:r>
    </w:p>
    <w:p w14:paraId="1F35774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ascii="??_GB2312" w:hAnsi="仿宋" w:eastAsia="Times New Roman" w:cs="仿宋"/>
          <w:bCs/>
          <w:sz w:val="32"/>
          <w:szCs w:val="32"/>
        </w:rPr>
        <w:t>水产技术中心</w:t>
      </w:r>
      <w:r>
        <w:rPr>
          <w:rFonts w:hint="eastAsia" w:ascii="TimesNewRoman" w:hAnsi="TimesNewRoman" w:eastAsia="仿宋_GB2312" w:cs="TimesNewRoman"/>
          <w:bCs/>
          <w:sz w:val="32"/>
          <w:szCs w:val="32"/>
        </w:rPr>
        <w:t>2024年财政拨款收支总表</w:t>
      </w:r>
    </w:p>
    <w:p w14:paraId="2DABE78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ascii="??_GB2312" w:hAnsi="仿宋" w:eastAsia="Times New Roman" w:cs="仿宋"/>
          <w:bCs/>
          <w:sz w:val="32"/>
          <w:szCs w:val="32"/>
        </w:rPr>
        <w:t>水产技术中心</w:t>
      </w:r>
      <w:r>
        <w:rPr>
          <w:rFonts w:hint="eastAsia" w:ascii="TimesNewRoman" w:hAnsi="TimesNewRoman" w:eastAsia="仿宋_GB2312" w:cs="TimesNewRoman"/>
          <w:bCs/>
          <w:sz w:val="32"/>
          <w:szCs w:val="32"/>
        </w:rPr>
        <w:t>2024年一般公共预算支出表</w:t>
      </w:r>
    </w:p>
    <w:p w14:paraId="604748A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ascii="??_GB2312" w:hAnsi="仿宋" w:eastAsia="Times New Roman" w:cs="仿宋"/>
          <w:bCs/>
          <w:sz w:val="32"/>
          <w:szCs w:val="32"/>
        </w:rPr>
        <w:t>水产技术中心</w:t>
      </w:r>
      <w:r>
        <w:rPr>
          <w:rFonts w:hint="eastAsia" w:ascii="TimesNewRoman" w:hAnsi="TimesNewRoman" w:eastAsia="仿宋_GB2312" w:cs="TimesNewRoman"/>
          <w:bCs/>
          <w:sz w:val="32"/>
          <w:szCs w:val="32"/>
        </w:rPr>
        <w:t>2024年一般公共预算基本支出表</w:t>
      </w:r>
    </w:p>
    <w:p w14:paraId="7E3354C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ascii="??_GB2312" w:hAnsi="仿宋" w:eastAsia="Times New Roman" w:cs="仿宋"/>
          <w:bCs/>
          <w:sz w:val="32"/>
          <w:szCs w:val="32"/>
        </w:rPr>
        <w:t>水产技术中心</w:t>
      </w:r>
      <w:r>
        <w:rPr>
          <w:rFonts w:hint="eastAsia" w:ascii="TimesNewRoman" w:hAnsi="TimesNewRoman" w:eastAsia="仿宋_GB2312" w:cs="TimesNewRoman"/>
          <w:bCs/>
          <w:sz w:val="32"/>
          <w:szCs w:val="32"/>
        </w:rPr>
        <w:t>2024年政府性基金预算支出表</w:t>
      </w:r>
    </w:p>
    <w:p w14:paraId="7D16BB2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ascii="??_GB2312" w:hAnsi="仿宋" w:eastAsia="Times New Roman" w:cs="仿宋"/>
          <w:bCs/>
          <w:sz w:val="32"/>
          <w:szCs w:val="32"/>
        </w:rPr>
        <w:t>水产技术中心</w:t>
      </w:r>
      <w:r>
        <w:rPr>
          <w:rFonts w:hint="eastAsia" w:ascii="TimesNewRoman" w:hAnsi="TimesNewRoman" w:eastAsia="仿宋_GB2312" w:cs="TimesNewRoman"/>
          <w:bCs/>
          <w:sz w:val="32"/>
          <w:szCs w:val="32"/>
        </w:rPr>
        <w:t>2024年国有资本经营预算支出表</w:t>
      </w:r>
    </w:p>
    <w:p w14:paraId="26B17B4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ascii="??_GB2312" w:hAnsi="仿宋" w:eastAsia="Times New Roman" w:cs="仿宋"/>
          <w:bCs/>
          <w:sz w:val="32"/>
          <w:szCs w:val="32"/>
        </w:rPr>
        <w:t>水产技术中心</w:t>
      </w:r>
      <w:r>
        <w:rPr>
          <w:rFonts w:hint="eastAsia" w:ascii="TimesNewRoman" w:hAnsi="TimesNewRoman" w:eastAsia="仿宋_GB2312" w:cs="TimesNewRoman"/>
          <w:bCs/>
          <w:sz w:val="32"/>
          <w:szCs w:val="32"/>
        </w:rPr>
        <w:t>2024年项目支出表</w:t>
      </w:r>
    </w:p>
    <w:p w14:paraId="7F6716D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ascii="??_GB2312" w:hAnsi="仿宋" w:eastAsia="Times New Roman" w:cs="仿宋"/>
          <w:bCs/>
          <w:sz w:val="32"/>
          <w:szCs w:val="32"/>
        </w:rPr>
        <w:t>水产技术中心</w:t>
      </w:r>
      <w:r>
        <w:rPr>
          <w:rFonts w:hint="eastAsia" w:ascii="TimesNewRoman" w:hAnsi="TimesNewRoman" w:eastAsia="仿宋_GB2312" w:cs="TimesNewRoman"/>
          <w:bCs/>
          <w:sz w:val="32"/>
          <w:szCs w:val="32"/>
        </w:rPr>
        <w:t>2024年政府采购支出表</w:t>
      </w:r>
    </w:p>
    <w:p w14:paraId="5F7AEC6C">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ascii="??_GB2312" w:hAnsi="仿宋" w:eastAsia="Times New Roman" w:cs="仿宋"/>
          <w:bCs/>
          <w:sz w:val="32"/>
          <w:szCs w:val="32"/>
        </w:rPr>
        <w:t>水产技术中心</w:t>
      </w:r>
      <w:r>
        <w:rPr>
          <w:rFonts w:hint="eastAsia" w:ascii="TimesNewRoman" w:hAnsi="TimesNewRoman" w:eastAsia="仿宋_GB2312" w:cs="TimesNewRoman"/>
          <w:bCs/>
          <w:sz w:val="32"/>
          <w:szCs w:val="32"/>
        </w:rPr>
        <w:t>2024年政府购买服务支出表</w:t>
      </w:r>
    </w:p>
    <w:p w14:paraId="76D5E00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ascii="??_GB2312" w:hAnsi="仿宋" w:eastAsia="Times New Roman" w:cs="仿宋"/>
          <w:bCs/>
          <w:sz w:val="32"/>
          <w:szCs w:val="32"/>
        </w:rPr>
        <w:t>水产技术中心</w:t>
      </w:r>
      <w:r>
        <w:rPr>
          <w:rFonts w:ascii="TimesNewRoman" w:hAnsi="TimesNewRoman" w:eastAsia="仿宋_GB2312" w:cs="TimesNewRoman"/>
          <w:bCs/>
          <w:sz w:val="32"/>
          <w:szCs w:val="32"/>
        </w:rPr>
        <w:t>2024年通用资产配置支出表</w:t>
      </w:r>
    </w:p>
    <w:p w14:paraId="082E1128">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2024年部门预算情况说明</w:t>
      </w:r>
    </w:p>
    <w:p w14:paraId="27E6282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14:paraId="5DFA894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14:paraId="1115D1A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14:paraId="4028B3B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14:paraId="4DE8DC5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14:paraId="5CD730E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14:paraId="6C963C2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14:paraId="274D02A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14:paraId="5BDA5F3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14:paraId="19FA444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14:paraId="1DB75F0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14:paraId="761736A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780CDEAE">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2908462B">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2208E41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ascii="??_GB2312" w:hAnsi="仿宋" w:eastAsia="Times New Roman" w:cs="仿宋"/>
          <w:bCs/>
          <w:sz w:val="32"/>
          <w:szCs w:val="32"/>
        </w:rPr>
        <w:t>水产技术中心</w:t>
      </w:r>
      <w:r>
        <w:rPr>
          <w:rFonts w:hint="eastAsia" w:ascii="TimesNewRoman" w:hAnsi="TimesNewRoman" w:eastAsia="仿宋_GB2312" w:cs="TimesNewRoman"/>
          <w:bCs/>
          <w:sz w:val="32"/>
          <w:szCs w:val="32"/>
        </w:rPr>
        <w:t>2024年部门预算纳入绩效考评项目表</w:t>
      </w:r>
    </w:p>
    <w:p w14:paraId="4305D20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ascii="??_GB2312" w:hAnsi="仿宋" w:eastAsia="Times New Roman" w:cs="仿宋"/>
          <w:bCs/>
          <w:sz w:val="32"/>
          <w:szCs w:val="32"/>
        </w:rPr>
        <w:t>水产技术中心</w:t>
      </w:r>
      <w:r>
        <w:rPr>
          <w:rFonts w:hint="eastAsia" w:ascii="TimesNewRoman" w:hAnsi="TimesNewRoman" w:eastAsia="仿宋_GB2312" w:cs="TimesNewRoman"/>
          <w:bCs/>
          <w:sz w:val="32"/>
          <w:szCs w:val="32"/>
        </w:rPr>
        <w:t>2024年部门预算专项资金管理清单（专栏公开）</w:t>
      </w:r>
    </w:p>
    <w:p w14:paraId="64F9F1AE">
      <w:pPr>
        <w:pStyle w:val="4"/>
        <w:adjustRightInd w:val="0"/>
        <w:snapToGrid w:val="0"/>
        <w:spacing w:line="400" w:lineRule="exact"/>
        <w:ind w:firstLine="800" w:firstLineChars="250"/>
        <w:rPr>
          <w:rFonts w:ascii="TimesNewRoman" w:hAnsi="TimesNewRoman" w:eastAsia="仿宋_GB2312" w:cs="TimesNewRoman"/>
          <w:bCs/>
          <w:sz w:val="32"/>
          <w:szCs w:val="32"/>
        </w:rPr>
      </w:pPr>
    </w:p>
    <w:p w14:paraId="1BC8FD6C">
      <w:pPr>
        <w:pStyle w:val="4"/>
        <w:adjustRightInd w:val="0"/>
        <w:snapToGrid w:val="0"/>
        <w:spacing w:line="560" w:lineRule="exact"/>
        <w:jc w:val="center"/>
        <w:rPr>
          <w:rFonts w:hint="eastAsia" w:ascii="TimesNewRoman" w:hAnsi="TimesNewRoman" w:eastAsia="黑体" w:cs="TimesNewRoman"/>
          <w:bCs/>
          <w:sz w:val="36"/>
          <w:szCs w:val="36"/>
        </w:rPr>
      </w:pPr>
    </w:p>
    <w:p w14:paraId="4E3841D2">
      <w:pPr>
        <w:pStyle w:val="4"/>
        <w:adjustRightInd w:val="0"/>
        <w:snapToGrid w:val="0"/>
        <w:spacing w:line="560" w:lineRule="exact"/>
        <w:jc w:val="center"/>
        <w:rPr>
          <w:rFonts w:hint="eastAsia" w:ascii="TimesNewRoman" w:hAnsi="TimesNewRoman" w:eastAsia="黑体" w:cs="TimesNewRoman"/>
          <w:bCs/>
          <w:sz w:val="36"/>
          <w:szCs w:val="36"/>
        </w:rPr>
      </w:pPr>
    </w:p>
    <w:p w14:paraId="20FB5219">
      <w:pPr>
        <w:pStyle w:val="4"/>
        <w:adjustRightInd w:val="0"/>
        <w:snapToGrid w:val="0"/>
        <w:spacing w:line="560" w:lineRule="exact"/>
        <w:jc w:val="center"/>
        <w:rPr>
          <w:rFonts w:hint="eastAsia" w:ascii="TimesNewRoman" w:hAnsi="TimesNewRoman" w:eastAsia="黑体" w:cs="TimesNewRoman"/>
          <w:bCs/>
          <w:sz w:val="36"/>
          <w:szCs w:val="36"/>
        </w:rPr>
      </w:pPr>
    </w:p>
    <w:p w14:paraId="0629EDD8">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部门概况</w:t>
      </w:r>
    </w:p>
    <w:p w14:paraId="773960B4"/>
    <w:p w14:paraId="0B25A3E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3BDEB6D5">
      <w:pPr>
        <w:pStyle w:val="4"/>
        <w:adjustRightInd w:val="0"/>
        <w:snapToGrid w:val="0"/>
        <w:spacing w:line="560" w:lineRule="exact"/>
        <w:ind w:left="319" w:leftChars="152" w:firstLine="307" w:firstLineChars="96"/>
        <w:rPr>
          <w:rFonts w:hint="eastAsia" w:ascii="TimesNewRoman" w:hAnsi="TimesNewRoman" w:eastAsia="仿宋_GB2312" w:cs="TimesNewRoman"/>
          <w:sz w:val="32"/>
          <w:szCs w:val="32"/>
          <w:lang w:eastAsia="zh-CN"/>
        </w:rPr>
      </w:pPr>
      <w:r>
        <w:rPr>
          <w:rFonts w:hint="eastAsia" w:ascii="TimesNewRoman" w:hAnsi="TimesNewRoman" w:eastAsia="仿宋_GB2312" w:cs="TimesNewRoman"/>
          <w:kern w:val="0"/>
          <w:sz w:val="32"/>
          <w:szCs w:val="32"/>
          <w:lang w:val="en-US" w:eastAsia="zh-CN" w:bidi="ar-SA"/>
        </w:rPr>
        <w:t>（一）</w:t>
      </w:r>
      <w:r>
        <w:rPr>
          <w:rFonts w:hint="eastAsia" w:ascii="TimesNewRoman" w:hAnsi="TimesNewRoman" w:eastAsia="仿宋_GB2312" w:cs="TimesNewRoman"/>
          <w:sz w:val="32"/>
          <w:szCs w:val="32"/>
        </w:rPr>
        <w:t>负责渔业养殖水域污染事故调查处理、渔业资源养护（增殖放流）</w:t>
      </w:r>
      <w:r>
        <w:rPr>
          <w:rFonts w:hint="eastAsia" w:ascii="TimesNewRoman" w:hAnsi="TimesNewRoman" w:eastAsia="仿宋_GB2312" w:cs="TimesNewRoman"/>
          <w:sz w:val="32"/>
          <w:szCs w:val="32"/>
          <w:lang w:eastAsia="zh-CN"/>
        </w:rPr>
        <w:t>。</w:t>
      </w:r>
    </w:p>
    <w:p w14:paraId="7F3E6C66">
      <w:pPr>
        <w:pStyle w:val="4"/>
        <w:adjustRightInd w:val="0"/>
        <w:snapToGrid w:val="0"/>
        <w:spacing w:line="560" w:lineRule="exact"/>
        <w:ind w:firstLine="627" w:firstLineChars="196"/>
        <w:rPr>
          <w:rFonts w:hint="eastAsia" w:ascii="TimesNewRoman" w:hAnsi="TimesNewRoman" w:eastAsia="仿宋_GB2312" w:cs="TimesNewRoman"/>
          <w:sz w:val="32"/>
          <w:szCs w:val="32"/>
          <w:lang w:eastAsia="zh-CN"/>
        </w:rPr>
      </w:pPr>
      <w:r>
        <w:rPr>
          <w:rFonts w:hint="eastAsia" w:ascii="TimesNewRoman" w:hAnsi="TimesNewRoman" w:eastAsia="仿宋_GB2312" w:cs="TimesNewRoman"/>
          <w:kern w:val="0"/>
          <w:sz w:val="32"/>
          <w:szCs w:val="32"/>
          <w:lang w:val="en-US" w:eastAsia="zh-CN" w:bidi="ar-SA"/>
        </w:rPr>
        <w:t>（二）</w:t>
      </w:r>
      <w:r>
        <w:rPr>
          <w:rFonts w:hint="eastAsia" w:ascii="TimesNewRoman" w:hAnsi="TimesNewRoman" w:eastAsia="仿宋_GB2312" w:cs="TimesNewRoman"/>
          <w:sz w:val="32"/>
          <w:szCs w:val="32"/>
        </w:rPr>
        <w:t>负责水产品质量安全的动态监测</w:t>
      </w:r>
      <w:r>
        <w:rPr>
          <w:rFonts w:hint="eastAsia" w:ascii="TimesNewRoman" w:hAnsi="TimesNewRoman" w:eastAsia="仿宋_GB2312" w:cs="TimesNewRoman"/>
          <w:sz w:val="32"/>
          <w:szCs w:val="32"/>
          <w:lang w:eastAsia="zh-CN"/>
        </w:rPr>
        <w:t>，</w:t>
      </w:r>
      <w:bookmarkStart w:id="2" w:name="_GoBack"/>
      <w:bookmarkEnd w:id="2"/>
      <w:r>
        <w:rPr>
          <w:rFonts w:hint="eastAsia" w:ascii="TimesNewRoman" w:hAnsi="TimesNewRoman" w:eastAsia="仿宋_GB2312" w:cs="TimesNewRoman"/>
          <w:sz w:val="32"/>
          <w:szCs w:val="32"/>
        </w:rPr>
        <w:t>水生动物的防疫、检疫相关工作</w:t>
      </w:r>
      <w:r>
        <w:rPr>
          <w:rFonts w:hint="eastAsia" w:ascii="TimesNewRoman" w:hAnsi="TimesNewRoman" w:eastAsia="仿宋_GB2312" w:cs="TimesNewRoman"/>
          <w:sz w:val="32"/>
          <w:szCs w:val="32"/>
          <w:lang w:eastAsia="zh-CN"/>
        </w:rPr>
        <w:t>。</w:t>
      </w:r>
    </w:p>
    <w:p w14:paraId="7F5F1228">
      <w:pPr>
        <w:pStyle w:val="4"/>
        <w:adjustRightInd w:val="0"/>
        <w:snapToGrid w:val="0"/>
        <w:spacing w:line="560" w:lineRule="exact"/>
        <w:ind w:firstLine="627" w:firstLineChars="196"/>
        <w:rPr>
          <w:rFonts w:hint="eastAsia" w:ascii="TimesNewRoman" w:hAnsi="TimesNewRoman" w:eastAsia="仿宋_GB2312" w:cs="TimesNewRoman"/>
          <w:sz w:val="32"/>
          <w:szCs w:val="32"/>
          <w:lang w:eastAsia="zh-CN"/>
        </w:rPr>
      </w:pPr>
      <w:r>
        <w:rPr>
          <w:rFonts w:hint="eastAsia" w:ascii="TimesNewRoman" w:hAnsi="TimesNewRoman" w:eastAsia="仿宋_GB2312" w:cs="TimesNewRoman"/>
          <w:kern w:val="0"/>
          <w:sz w:val="32"/>
          <w:szCs w:val="32"/>
          <w:lang w:val="en-US" w:eastAsia="zh-CN" w:bidi="ar-SA"/>
        </w:rPr>
        <w:t>（三）</w:t>
      </w:r>
      <w:r>
        <w:rPr>
          <w:rFonts w:hint="eastAsia" w:ascii="TimesNewRoman" w:hAnsi="TimesNewRoman" w:eastAsia="仿宋_GB2312" w:cs="TimesNewRoman"/>
          <w:sz w:val="32"/>
          <w:szCs w:val="32"/>
        </w:rPr>
        <w:t>负责水产新品种、新技术的引进、试验、示范与推广</w:t>
      </w:r>
      <w:r>
        <w:rPr>
          <w:rFonts w:hint="eastAsia" w:ascii="TimesNewRoman" w:hAnsi="TimesNewRoman" w:eastAsia="仿宋_GB2312" w:cs="TimesNewRoman"/>
          <w:sz w:val="32"/>
          <w:szCs w:val="32"/>
          <w:lang w:eastAsia="zh-CN"/>
        </w:rPr>
        <w:t>。</w:t>
      </w:r>
    </w:p>
    <w:p w14:paraId="0464976D">
      <w:pPr>
        <w:pStyle w:val="4"/>
        <w:adjustRightInd w:val="0"/>
        <w:snapToGrid w:val="0"/>
        <w:spacing w:line="560" w:lineRule="exact"/>
        <w:ind w:firstLine="627" w:firstLineChars="196"/>
        <w:rPr>
          <w:rFonts w:hint="eastAsia" w:ascii="TimesNewRoman" w:hAnsi="TimesNewRoman" w:eastAsia="仿宋_GB2312" w:cs="TimesNewRoman"/>
          <w:sz w:val="32"/>
          <w:szCs w:val="32"/>
          <w:lang w:eastAsia="zh-CN"/>
        </w:rPr>
      </w:pPr>
      <w:r>
        <w:rPr>
          <w:rFonts w:hint="eastAsia" w:ascii="TimesNewRoman" w:hAnsi="TimesNewRoman" w:eastAsia="仿宋_GB2312" w:cs="TimesNewRoman"/>
          <w:kern w:val="0"/>
          <w:sz w:val="32"/>
          <w:szCs w:val="32"/>
          <w:lang w:val="en-US" w:eastAsia="zh-CN" w:bidi="ar-SA"/>
        </w:rPr>
        <w:t>（四）</w:t>
      </w:r>
      <w:r>
        <w:rPr>
          <w:rFonts w:hint="eastAsia" w:ascii="TimesNewRoman" w:hAnsi="TimesNewRoman" w:eastAsia="仿宋_GB2312" w:cs="TimesNewRoman"/>
          <w:sz w:val="32"/>
          <w:szCs w:val="32"/>
        </w:rPr>
        <w:t>负责水产技术咨询、信息服务</w:t>
      </w:r>
      <w:r>
        <w:rPr>
          <w:rFonts w:hint="eastAsia" w:ascii="TimesNewRoman" w:hAnsi="TimesNewRoman" w:eastAsia="仿宋_GB2312" w:cs="TimesNewRoman"/>
          <w:sz w:val="32"/>
          <w:szCs w:val="32"/>
          <w:lang w:eastAsia="zh-CN"/>
        </w:rPr>
        <w:t>。</w:t>
      </w:r>
    </w:p>
    <w:p w14:paraId="393C78DF">
      <w:pPr>
        <w:pStyle w:val="4"/>
        <w:adjustRightInd w:val="0"/>
        <w:snapToGrid w:val="0"/>
        <w:spacing w:line="560" w:lineRule="exact"/>
        <w:ind w:firstLine="627" w:firstLineChars="196"/>
        <w:rPr>
          <w:rFonts w:hint="eastAsia" w:ascii="TimesNewRoman" w:hAnsi="TimesNewRoman" w:eastAsia="仿宋_GB2312" w:cs="TimesNewRoman"/>
          <w:sz w:val="32"/>
          <w:szCs w:val="32"/>
          <w:lang w:eastAsia="zh-CN"/>
        </w:rPr>
      </w:pPr>
      <w:r>
        <w:rPr>
          <w:rFonts w:hint="eastAsia" w:ascii="TimesNewRoman" w:hAnsi="TimesNewRoman" w:eastAsia="仿宋_GB2312" w:cs="TimesNewRoman"/>
          <w:kern w:val="0"/>
          <w:sz w:val="32"/>
          <w:szCs w:val="32"/>
          <w:lang w:val="en-US" w:eastAsia="zh-CN" w:bidi="ar-SA"/>
        </w:rPr>
        <w:t>（五）</w:t>
      </w:r>
      <w:r>
        <w:rPr>
          <w:rFonts w:hint="eastAsia" w:ascii="TimesNewRoman" w:hAnsi="TimesNewRoman" w:eastAsia="仿宋_GB2312" w:cs="TimesNewRoman"/>
          <w:sz w:val="32"/>
          <w:szCs w:val="32"/>
        </w:rPr>
        <w:t>负责水产行业专业技术培训</w:t>
      </w:r>
      <w:r>
        <w:rPr>
          <w:rFonts w:hint="eastAsia" w:ascii="TimesNewRoman" w:hAnsi="TimesNewRoman" w:eastAsia="仿宋_GB2312" w:cs="TimesNewRoman"/>
          <w:sz w:val="32"/>
          <w:szCs w:val="32"/>
          <w:lang w:eastAsia="zh-CN"/>
        </w:rPr>
        <w:t>。</w:t>
      </w:r>
    </w:p>
    <w:p w14:paraId="2849D82B">
      <w:pPr>
        <w:pStyle w:val="4"/>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kern w:val="0"/>
          <w:sz w:val="32"/>
          <w:szCs w:val="32"/>
          <w:lang w:val="en-US" w:eastAsia="zh-CN" w:bidi="ar-SA"/>
        </w:rPr>
        <w:t>（六）</w:t>
      </w:r>
      <w:r>
        <w:rPr>
          <w:rFonts w:hint="eastAsia" w:ascii="TimesNewRoman" w:hAnsi="TimesNewRoman" w:eastAsia="仿宋_GB2312" w:cs="TimesNewRoman"/>
          <w:sz w:val="32"/>
          <w:szCs w:val="32"/>
        </w:rPr>
        <w:t>负责水产养殖病害的测报、预防与控制等工作。</w:t>
      </w:r>
    </w:p>
    <w:p w14:paraId="595AA60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二、部门预算构成</w:t>
      </w:r>
    </w:p>
    <w:p w14:paraId="2D14C4AC">
      <w:pPr>
        <w:pStyle w:val="4"/>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从预算单位构成看，淮北市水产技术中心202</w:t>
      </w:r>
      <w:r>
        <w:rPr>
          <w:rFonts w:hint="eastAsia" w:ascii="TimesNewRoman" w:hAnsi="TimesNewRoman" w:eastAsia="仿宋_GB2312" w:cs="TimesNewRoman"/>
          <w:sz w:val="32"/>
          <w:szCs w:val="32"/>
          <w:lang w:val="en-US" w:eastAsia="zh-CN"/>
        </w:rPr>
        <w:t>4</w:t>
      </w:r>
      <w:r>
        <w:rPr>
          <w:rFonts w:hint="eastAsia" w:ascii="TimesNewRoman" w:hAnsi="TimesNewRoman" w:eastAsia="仿宋_GB2312" w:cs="TimesNewRoman"/>
          <w:sz w:val="32"/>
          <w:szCs w:val="32"/>
        </w:rPr>
        <w:t>年度部门预算仅包括水产技术中心本级预算，无其他下属单位预算。纳入部门预算编制范围的单位共1个,淮北市水产技术中心是隶属于淮北市农业农村局的全额拨款事业单位。</w:t>
      </w:r>
    </w:p>
    <w:p w14:paraId="6B8BB01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三、2024年度主要工作任务</w:t>
      </w:r>
    </w:p>
    <w:p w14:paraId="5F4D49A7">
      <w:pPr>
        <w:widowControl/>
        <w:spacing w:line="540" w:lineRule="exact"/>
        <w:ind w:firstLine="640" w:firstLineChars="200"/>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一）加大养殖技术推广力度。引进试验示范推广水产优新品种和健康养殖新技术。通过试验示范、现场指导、印发手册或培训等方式加大推广力度，提高我市水产养殖者养殖技术能力和规范用药水平，促进渔业发展节本增效。</w:t>
      </w:r>
    </w:p>
    <w:p w14:paraId="16D18FC8">
      <w:pPr>
        <w:widowControl/>
        <w:spacing w:line="540" w:lineRule="exact"/>
        <w:ind w:firstLine="640" w:firstLineChars="200"/>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二）发展绿色健康养殖。开展水产健康养殖示范创建，发展池塘标准化养殖、循环流水养殖、大水面生态养殖等生态健康养殖模式，加快推进水产养殖用药减量行动。推进养殖尾水治理，推动养殖尾水循环利用或达标排放。</w:t>
      </w:r>
    </w:p>
    <w:p w14:paraId="1E099223">
      <w:pPr>
        <w:widowControl/>
        <w:spacing w:line="540" w:lineRule="exact"/>
        <w:ind w:firstLine="640" w:firstLineChars="200"/>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（三）加强渔业资源养护。开展“6月6日”全国放鱼日同步活动，在中湖或朔西湖等公共水域开展增殖放流，净化水域环境，增殖渔业资源，促进“以渔净水、以渔养水”，实现生态环境良性循环。</w:t>
      </w:r>
    </w:p>
    <w:p w14:paraId="27E2FFD2">
      <w:pPr>
        <w:widowControl/>
        <w:spacing w:line="540" w:lineRule="exact"/>
        <w:ind w:firstLine="640" w:firstLineChars="200"/>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（四）加强疫病防控。全面实施水产苗种产地检疫制度，推进无规定疫病水产苗种场建设，实施病死养殖水生动物无害化处理。</w:t>
      </w:r>
    </w:p>
    <w:p w14:paraId="4D28863D">
      <w:pPr>
        <w:widowControl/>
        <w:spacing w:line="540" w:lineRule="exact"/>
        <w:ind w:firstLine="640" w:firstLineChars="200"/>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（五）加强水产品质量安全监管。落实生产经营者质量安全主体责任。加快推动养殖生产经营者建立健全养殖水产品追溯体系，加大水产品产地质量安全风险监测、监督抽查力度，深入排查风险隐患。</w:t>
      </w:r>
    </w:p>
    <w:p w14:paraId="36E08FB4">
      <w:pPr>
        <w:ind w:firstLine="640" w:firstLineChars="200"/>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六）继续做好鱼病测报、预报和渔业统计等其他工作。全面落实省委、省政府对统计工作的新定位新要求，聚焦履行渔业统计法定职责，加强渔业统计的学习和培训，继续做好鱼病测报、预报和渔业统计及网报工作。不断提升渔业统计工作质量，为推动做好“六稳”工作、落实“六保”任务作出新贡献。</w:t>
      </w:r>
    </w:p>
    <w:p w14:paraId="288BF9F5">
      <w:pPr>
        <w:pStyle w:val="4"/>
        <w:adjustRightInd w:val="0"/>
        <w:snapToGrid w:val="0"/>
        <w:spacing w:before="0" w:beforeAutospacing="0" w:after="0" w:afterAutospacing="0" w:line="360" w:lineRule="auto"/>
        <w:jc w:val="center"/>
        <w:rPr>
          <w:rFonts w:hint="eastAsia" w:ascii="TimesNewRoman" w:hAnsi="TimesNewRoman" w:eastAsia="仿宋_GB2312" w:cs="TimesNewRoman"/>
          <w:kern w:val="0"/>
          <w:sz w:val="32"/>
          <w:szCs w:val="32"/>
          <w:lang w:val="en-US" w:eastAsia="zh-CN" w:bidi="ar-SA"/>
        </w:rPr>
      </w:pPr>
    </w:p>
    <w:p w14:paraId="49CECE0D">
      <w:pPr>
        <w:pStyle w:val="4"/>
        <w:adjustRightInd w:val="0"/>
        <w:snapToGrid w:val="0"/>
        <w:spacing w:before="0" w:beforeAutospacing="0" w:after="0" w:afterAutospacing="0" w:line="600" w:lineRule="exact"/>
        <w:jc w:val="center"/>
        <w:rPr>
          <w:rFonts w:hint="eastAsia" w:ascii="TimesNewRoman" w:hAnsi="TimesNewRoman" w:eastAsia="仿宋_GB2312" w:cs="TimesNewRoman"/>
          <w:kern w:val="0"/>
          <w:sz w:val="32"/>
          <w:szCs w:val="32"/>
          <w:lang w:val="en-US" w:eastAsia="zh-CN" w:bidi="ar-SA"/>
        </w:rPr>
      </w:pPr>
    </w:p>
    <w:p w14:paraId="1F443473">
      <w:pPr>
        <w:pStyle w:val="4"/>
        <w:adjustRightInd w:val="0"/>
        <w:snapToGrid w:val="0"/>
        <w:spacing w:before="0" w:beforeAutospacing="0" w:after="0" w:afterAutospacing="0" w:line="600" w:lineRule="exact"/>
        <w:jc w:val="center"/>
        <w:rPr>
          <w:rFonts w:hint="eastAsia" w:ascii="TimesNewRoman" w:hAnsi="TimesNewRoman" w:eastAsia="仿宋_GB2312" w:cs="TimesNewRoman"/>
          <w:kern w:val="0"/>
          <w:sz w:val="32"/>
          <w:szCs w:val="32"/>
          <w:lang w:val="en-US" w:eastAsia="zh-CN" w:bidi="ar-SA"/>
        </w:rPr>
      </w:pPr>
    </w:p>
    <w:p w14:paraId="7926A2D3">
      <w:pPr>
        <w:pStyle w:val="4"/>
        <w:adjustRightInd w:val="0"/>
        <w:snapToGrid w:val="0"/>
        <w:spacing w:before="0" w:beforeAutospacing="0" w:after="0" w:afterAutospacing="0" w:line="600" w:lineRule="exact"/>
        <w:jc w:val="center"/>
        <w:rPr>
          <w:rFonts w:hint="eastAsia" w:ascii="TimesNewRoman" w:hAnsi="TimesNewRoman" w:eastAsia="仿宋_GB2312" w:cs="TimesNewRoman"/>
          <w:kern w:val="0"/>
          <w:sz w:val="32"/>
          <w:szCs w:val="32"/>
          <w:lang w:val="en-US" w:eastAsia="zh-CN" w:bidi="ar-SA"/>
        </w:rPr>
      </w:pPr>
    </w:p>
    <w:p w14:paraId="472B90C4">
      <w:pPr>
        <w:pStyle w:val="4"/>
        <w:adjustRightInd w:val="0"/>
        <w:snapToGrid w:val="0"/>
        <w:spacing w:before="0" w:beforeAutospacing="0" w:after="0" w:afterAutospacing="0" w:line="600" w:lineRule="exact"/>
        <w:jc w:val="center"/>
        <w:rPr>
          <w:rFonts w:hint="eastAsia" w:ascii="TimesNewRoman" w:hAnsi="TimesNewRoman" w:eastAsia="仿宋_GB2312" w:cs="TimesNewRoman"/>
          <w:kern w:val="0"/>
          <w:sz w:val="32"/>
          <w:szCs w:val="32"/>
          <w:lang w:val="en-US" w:eastAsia="zh-CN" w:bidi="ar-SA"/>
        </w:rPr>
      </w:pPr>
    </w:p>
    <w:p w14:paraId="3649B5D4">
      <w:pPr>
        <w:rPr>
          <w:rFonts w:hint="eastAsia" w:ascii="TimesNewRoman" w:hAnsi="TimesNewRoman" w:eastAsia="仿宋_GB2312" w:cs="TimesNewRoman"/>
          <w:kern w:val="0"/>
          <w:sz w:val="32"/>
          <w:szCs w:val="32"/>
          <w:lang w:val="en-US" w:eastAsia="zh-CN" w:bidi="ar-SA"/>
        </w:rPr>
      </w:pPr>
    </w:p>
    <w:p w14:paraId="7BCADD5A">
      <w:pPr>
        <w:pStyle w:val="4"/>
        <w:adjustRightInd w:val="0"/>
        <w:snapToGrid w:val="0"/>
        <w:spacing w:line="560" w:lineRule="exact"/>
        <w:jc w:val="center"/>
        <w:rPr>
          <w:rFonts w:hint="eastAsia" w:ascii="TimesNewRoman" w:hAnsi="TimesNewRoman" w:eastAsia="黑体" w:cs="TimesNewRoman"/>
          <w:bCs/>
          <w:sz w:val="36"/>
          <w:szCs w:val="36"/>
        </w:rPr>
      </w:pPr>
    </w:p>
    <w:p w14:paraId="069196FD">
      <w:pPr>
        <w:pStyle w:val="4"/>
        <w:adjustRightInd w:val="0"/>
        <w:snapToGrid w:val="0"/>
        <w:spacing w:line="560" w:lineRule="exact"/>
        <w:ind w:firstLine="1080" w:firstLineChars="300"/>
        <w:jc w:val="both"/>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2024年部门预算表</w:t>
      </w:r>
    </w:p>
    <w:p w14:paraId="6403070A">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5F5341B4">
      <w:r>
        <w:t xml:space="preserve">                                        </w:t>
      </w:r>
    </w:p>
    <w:p w14:paraId="455D8377">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2024年部门预算情况说明</w:t>
      </w:r>
    </w:p>
    <w:p w14:paraId="66EA7BFC"/>
    <w:p w14:paraId="52A8C30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14:paraId="73CCDCA7">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按照综合预算的原则，淮北市水产技术中心所有收入和支出均纳入部门预算管理。淮北市水产技术中心2024年收支总预算</w:t>
      </w:r>
      <w:r>
        <w:rPr>
          <w:rFonts w:hint="eastAsia" w:ascii="TimesNewRoman" w:hAnsi="TimesNewRoman" w:eastAsia="仿宋_GB2312" w:cs="TimesNewRoman"/>
          <w:sz w:val="32"/>
          <w:szCs w:val="32"/>
          <w:lang w:val="en-US" w:eastAsia="zh-CN"/>
        </w:rPr>
        <w:t>130.90</w:t>
      </w:r>
      <w:r>
        <w:rPr>
          <w:rFonts w:hint="eastAsia" w:ascii="TimesNewRoman" w:hAnsi="TimesNewRoman" w:eastAsia="仿宋_GB2312" w:cs="TimesNewRoman"/>
          <w:sz w:val="32"/>
          <w:szCs w:val="32"/>
        </w:rPr>
        <w:t>万元，收入</w:t>
      </w:r>
      <w:r>
        <w:rPr>
          <w:rFonts w:hint="eastAsia" w:ascii="TimesNewRoman" w:hAnsi="TimesNewRoman" w:eastAsia="仿宋_GB2312" w:cs="TimesNewRoman"/>
          <w:sz w:val="32"/>
          <w:szCs w:val="32"/>
          <w:lang w:eastAsia="zh-CN"/>
        </w:rPr>
        <w:t>全部是</w:t>
      </w:r>
      <w:r>
        <w:rPr>
          <w:rFonts w:hint="eastAsia" w:ascii="TimesNewRoman" w:hAnsi="TimesNewRoman" w:eastAsia="仿宋_GB2312" w:cs="TimesNewRoman"/>
          <w:sz w:val="32"/>
          <w:szCs w:val="32"/>
        </w:rPr>
        <w:t>一般公共预算拨款收入，支出按功能分类包括：社会保障和就业支出、卫生健康支出、住房保障支出、农林水支出。</w:t>
      </w:r>
    </w:p>
    <w:p w14:paraId="358F3A8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14:paraId="66BD488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rPr>
        <w:t>水产技术中心</w:t>
      </w:r>
      <w:r>
        <w:rPr>
          <w:rFonts w:hint="eastAsia" w:ascii="TimesNewRoman" w:hAnsi="TimesNewRoman" w:eastAsia="仿宋_GB2312" w:cs="TimesNewRoman"/>
          <w:kern w:val="0"/>
          <w:sz w:val="32"/>
          <w:szCs w:val="32"/>
        </w:rPr>
        <w:t>2024年收入预算</w:t>
      </w:r>
      <w:r>
        <w:rPr>
          <w:rFonts w:hint="eastAsia" w:ascii="TimesNewRoman" w:hAnsi="TimesNewRoman" w:eastAsia="仿宋_GB2312" w:cs="TimesNewRoman"/>
          <w:sz w:val="32"/>
          <w:szCs w:val="32"/>
          <w:lang w:val="en-US" w:eastAsia="zh-CN"/>
        </w:rPr>
        <w:t>130.90</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sz w:val="32"/>
          <w:szCs w:val="32"/>
          <w:lang w:val="en-US" w:eastAsia="zh-CN"/>
        </w:rPr>
        <w:t>130.90</w:t>
      </w:r>
      <w:r>
        <w:rPr>
          <w:rFonts w:hint="eastAsia" w:ascii="TimesNewRoman" w:hAnsi="TimesNewRoman" w:eastAsia="仿宋_GB2312" w:cs="TimesNewRoman"/>
          <w:kern w:val="0"/>
          <w:sz w:val="32"/>
          <w:szCs w:val="32"/>
        </w:rPr>
        <w:t>万元。</w:t>
      </w:r>
    </w:p>
    <w:p w14:paraId="62A67234">
      <w:pPr>
        <w:numPr>
          <w:ilvl w:val="0"/>
          <w:numId w:val="1"/>
        </w:num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本年收入</w:t>
      </w:r>
      <w:r>
        <w:rPr>
          <w:rFonts w:hint="eastAsia" w:ascii="TimesNewRoman" w:hAnsi="TimesNewRoman" w:eastAsia="仿宋_GB2312" w:cs="TimesNewRoman"/>
          <w:sz w:val="32"/>
          <w:szCs w:val="32"/>
          <w:lang w:val="en-US" w:eastAsia="zh-CN"/>
        </w:rPr>
        <w:t>130.90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130.9</w:t>
      </w:r>
      <w:r>
        <w:rPr>
          <w:rFonts w:hint="eastAsia" w:ascii="TimesNewRoman" w:hAnsi="TimesNewRoman" w:eastAsia="仿宋_GB2312" w:cs="TimesNewRoman"/>
          <w:kern w:val="0"/>
          <w:sz w:val="32"/>
          <w:szCs w:val="32"/>
        </w:rPr>
        <w:t>万元，占100%，比202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1.67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1.26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退休人员经费预算减少</w:t>
      </w:r>
      <w:r>
        <w:rPr>
          <w:rFonts w:hint="eastAsia" w:ascii="TimesNewRoman" w:hAnsi="TimesNewRoman" w:eastAsia="仿宋_GB2312" w:cs="TimesNewRoman"/>
          <w:kern w:val="0"/>
          <w:sz w:val="32"/>
          <w:szCs w:val="32"/>
        </w:rPr>
        <w:t>。</w:t>
      </w:r>
    </w:p>
    <w:p w14:paraId="049AC481">
      <w:pPr>
        <w:numPr>
          <w:ilvl w:val="0"/>
          <w:numId w:val="0"/>
        </w:numPr>
        <w:ind w:firstLine="960" w:firstLineChars="300"/>
        <w:rPr>
          <w:rFonts w:hint="eastAsia" w:ascii="TimesNewRoman" w:hAnsi="TimesNewRoman" w:eastAsia="仿宋_GB2312" w:cs="TimesNewRoman"/>
          <w:sz w:val="32"/>
          <w:szCs w:val="32"/>
          <w:lang w:val="en-US" w:eastAsia="zh-CN"/>
        </w:rPr>
      </w:pPr>
      <w:r>
        <w:rPr>
          <w:rFonts w:hint="eastAsia" w:ascii="TimesNewRoman" w:hAnsi="TimesNewRoman" w:eastAsia="仿宋_GB2312" w:cs="TimesNewRoman"/>
          <w:sz w:val="32"/>
          <w:szCs w:val="32"/>
          <w:lang w:val="en-US" w:eastAsia="zh-CN"/>
        </w:rPr>
        <w:t>政府性基金预算拨款收入0万元，占0%，与2023年预算相比无变化，原因主要是淮北市水产技术中心2023年无政府性基金预算收入。</w:t>
      </w:r>
    </w:p>
    <w:p w14:paraId="3ED3E33D">
      <w:pPr>
        <w:numPr>
          <w:ilvl w:val="0"/>
          <w:numId w:val="0"/>
        </w:numPr>
        <w:ind w:firstLine="960" w:firstLineChars="300"/>
        <w:rPr>
          <w:rFonts w:hint="eastAsia" w:ascii="TimesNewRoman" w:hAnsi="TimesNewRoman" w:eastAsia="仿宋_GB2312" w:cs="TimesNewRoman"/>
          <w:sz w:val="32"/>
          <w:szCs w:val="32"/>
          <w:lang w:val="en-US" w:eastAsia="zh-CN"/>
        </w:rPr>
      </w:pPr>
      <w:r>
        <w:rPr>
          <w:rFonts w:hint="eastAsia" w:ascii="TimesNewRoman" w:hAnsi="TimesNewRoman" w:eastAsia="仿宋_GB2312" w:cs="TimesNewRoman"/>
          <w:sz w:val="32"/>
          <w:szCs w:val="32"/>
          <w:lang w:val="en-US" w:eastAsia="zh-CN"/>
        </w:rPr>
        <w:t xml:space="preserve">财政专户管理资金收入0万元，占0%，与2023年预算相比无变化，原因主要是淮北市水产技术中心2023年无财政专户管理的资金收入。  </w:t>
      </w:r>
    </w:p>
    <w:p w14:paraId="219899E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14:paraId="514ED27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rPr>
        <w:t>水产技术中心</w:t>
      </w:r>
      <w:r>
        <w:rPr>
          <w:rFonts w:hint="eastAsia" w:ascii="TimesNewRoman" w:hAnsi="TimesNewRoman" w:eastAsia="仿宋_GB2312" w:cs="TimesNewRoman"/>
          <w:kern w:val="0"/>
          <w:sz w:val="32"/>
          <w:szCs w:val="32"/>
        </w:rPr>
        <w:t>2024年支出预算</w:t>
      </w:r>
      <w:r>
        <w:rPr>
          <w:rFonts w:hint="eastAsia" w:ascii="TimesNewRoman" w:hAnsi="TimesNewRoman" w:eastAsia="仿宋_GB2312" w:cs="TimesNewRoman"/>
          <w:kern w:val="0"/>
          <w:sz w:val="32"/>
          <w:szCs w:val="32"/>
          <w:lang w:val="en-US" w:eastAsia="zh-CN"/>
        </w:rPr>
        <w:t>130.90</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1.67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1.26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退休人员经费预算减少</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125.90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96.18</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3.82</w:t>
      </w:r>
      <w:r>
        <w:rPr>
          <w:rFonts w:hint="eastAsia" w:ascii="TimesNewRoman" w:hAnsi="TimesNewRoman" w:eastAsia="仿宋_GB2312" w:cs="TimesNewRoman"/>
          <w:kern w:val="0"/>
          <w:sz w:val="32"/>
          <w:szCs w:val="32"/>
        </w:rPr>
        <w:t>%，是淮北市水产技术中心专项工作经费，主要用于渔业工作中最为基础性和本职性的工作，维护我市渔业工作正常运转。</w:t>
      </w:r>
    </w:p>
    <w:p w14:paraId="3C74376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14:paraId="5CA7301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rPr>
        <w:t>水产技术中心</w:t>
      </w:r>
      <w:r>
        <w:rPr>
          <w:rFonts w:hint="eastAsia" w:ascii="TimesNewRoman" w:hAnsi="TimesNewRoman" w:eastAsia="仿宋_GB2312" w:cs="TimesNewRoman"/>
          <w:kern w:val="0"/>
          <w:sz w:val="32"/>
          <w:szCs w:val="32"/>
        </w:rPr>
        <w:t>2024年财政拨款收支预算</w:t>
      </w:r>
      <w:r>
        <w:rPr>
          <w:rFonts w:hint="eastAsia" w:ascii="TimesNewRoman" w:hAnsi="TimesNewRoman" w:eastAsia="仿宋_GB2312" w:cs="TimesNewRoman"/>
          <w:kern w:val="0"/>
          <w:sz w:val="32"/>
          <w:szCs w:val="32"/>
          <w:lang w:val="en-US" w:eastAsia="zh-CN"/>
        </w:rPr>
        <w:t>130.90</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130.90</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130.90</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27.59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21.08</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6.03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4.61</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17.35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13.25</w:t>
      </w:r>
      <w:r>
        <w:rPr>
          <w:rFonts w:hint="eastAsia" w:ascii="TimesNewRoman" w:hAnsi="TimesNewRoman" w:eastAsia="仿宋_GB2312" w:cs="TimesNewRoman"/>
          <w:kern w:val="0"/>
          <w:sz w:val="32"/>
          <w:szCs w:val="32"/>
        </w:rPr>
        <w:t>%；农林水支出</w:t>
      </w:r>
      <w:r>
        <w:rPr>
          <w:rFonts w:hint="eastAsia" w:ascii="??_GB2312" w:hAnsi="仿宋" w:eastAsia="宋体" w:cs="Times New Roman"/>
          <w:kern w:val="2"/>
          <w:sz w:val="32"/>
          <w:szCs w:val="32"/>
          <w:lang w:val="en-US" w:eastAsia="zh-CN"/>
        </w:rPr>
        <w:t>79.93</w:t>
      </w:r>
      <w:r>
        <w:rPr>
          <w:rFonts w:ascii="??_GB2312" w:hAnsi="仿宋" w:eastAsia="Times New Roman" w:cs="Times New Roman"/>
          <w:kern w:val="2"/>
          <w:sz w:val="32"/>
          <w:szCs w:val="32"/>
        </w:rPr>
        <w:t>万元，</w:t>
      </w:r>
      <w:r>
        <w:rPr>
          <w:rFonts w:hint="eastAsia" w:ascii="TimesNewRoman" w:hAnsi="TimesNewRoman" w:eastAsia="仿宋_GB2312" w:cs="TimesNewRoman"/>
          <w:kern w:val="0"/>
          <w:sz w:val="32"/>
          <w:szCs w:val="32"/>
        </w:rPr>
        <w:t>占</w:t>
      </w:r>
      <w:r>
        <w:rPr>
          <w:rFonts w:hint="eastAsia" w:ascii="??_GB2312" w:hAnsi="仿宋" w:eastAsia="宋体" w:cs="Times New Roman"/>
          <w:kern w:val="2"/>
          <w:sz w:val="32"/>
          <w:szCs w:val="32"/>
          <w:lang w:val="en-US" w:eastAsia="zh-CN"/>
        </w:rPr>
        <w:t>61.06</w:t>
      </w:r>
      <w:r>
        <w:rPr>
          <w:rFonts w:ascii="??_GB2312" w:hAnsi="仿宋" w:eastAsia="Times New Roman" w:cs="Times New Roman"/>
          <w:kern w:val="2"/>
          <w:sz w:val="32"/>
          <w:szCs w:val="32"/>
        </w:rPr>
        <w:t>%。</w:t>
      </w:r>
    </w:p>
    <w:p w14:paraId="0B9BD9F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14:paraId="73C8488E">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5FA210F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rPr>
        <w:t>水产技术中心</w:t>
      </w:r>
      <w:r>
        <w:rPr>
          <w:rFonts w:hint="eastAsia" w:ascii="TimesNewRoman" w:hAnsi="TimesNewRoman" w:eastAsia="仿宋_GB2312" w:cs="TimesNewRoman"/>
          <w:kern w:val="0"/>
          <w:sz w:val="32"/>
          <w:szCs w:val="32"/>
        </w:rPr>
        <w:t>2024年一般公共预算支出</w:t>
      </w:r>
      <w:r>
        <w:rPr>
          <w:rFonts w:hint="eastAsia" w:ascii="TimesNewRoman" w:hAnsi="TimesNewRoman" w:eastAsia="仿宋_GB2312" w:cs="TimesNewRoman"/>
          <w:kern w:val="0"/>
          <w:sz w:val="32"/>
          <w:szCs w:val="32"/>
          <w:lang w:val="en-US" w:eastAsia="zh-CN"/>
        </w:rPr>
        <w:t>130.90</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1.67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1.26</w:t>
      </w:r>
      <w:r>
        <w:rPr>
          <w:rFonts w:hint="eastAsia" w:ascii="TimesNewRoman" w:hAnsi="TimesNewRoman" w:eastAsia="仿宋_GB2312" w:cs="TimesNewRoman"/>
          <w:kern w:val="0"/>
          <w:sz w:val="32"/>
          <w:szCs w:val="32"/>
        </w:rPr>
        <w:t>%，主要原因：</w:t>
      </w:r>
      <w:r>
        <w:rPr>
          <w:rFonts w:hint="eastAsia" w:ascii="TimesNewRoman" w:hAnsi="TimesNewRoman" w:eastAsia="仿宋_GB2312" w:cs="TimesNewRoman"/>
          <w:kern w:val="0"/>
          <w:sz w:val="32"/>
          <w:szCs w:val="32"/>
          <w:lang w:eastAsia="zh-CN"/>
        </w:rPr>
        <w:t>退休人员经费预算减少</w:t>
      </w:r>
      <w:r>
        <w:rPr>
          <w:rFonts w:hint="eastAsia" w:ascii="TimesNewRoman" w:hAnsi="TimesNewRoman" w:eastAsia="仿宋_GB2312" w:cs="TimesNewRoman"/>
          <w:kern w:val="0"/>
          <w:sz w:val="32"/>
          <w:szCs w:val="32"/>
        </w:rPr>
        <w:t>。</w:t>
      </w:r>
    </w:p>
    <w:p w14:paraId="550329DB">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24C588E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27.59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21.08</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6.03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4.61</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17.35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13.25</w:t>
      </w:r>
      <w:r>
        <w:rPr>
          <w:rFonts w:hint="eastAsia" w:ascii="TimesNewRoman" w:hAnsi="TimesNewRoman" w:eastAsia="仿宋_GB2312" w:cs="TimesNewRoman"/>
          <w:kern w:val="0"/>
          <w:sz w:val="32"/>
          <w:szCs w:val="32"/>
        </w:rPr>
        <w:t>%；农林水支出</w:t>
      </w:r>
      <w:r>
        <w:rPr>
          <w:rFonts w:hint="eastAsia" w:ascii="??_GB2312" w:hAnsi="仿宋" w:eastAsia="宋体" w:cs="Times New Roman"/>
          <w:kern w:val="2"/>
          <w:sz w:val="32"/>
          <w:szCs w:val="32"/>
          <w:lang w:val="en-US" w:eastAsia="zh-CN"/>
        </w:rPr>
        <w:t>79.93</w:t>
      </w:r>
      <w:r>
        <w:rPr>
          <w:rFonts w:ascii="??_GB2312" w:hAnsi="仿宋" w:eastAsia="Times New Roman" w:cs="Times New Roman"/>
          <w:kern w:val="2"/>
          <w:sz w:val="32"/>
          <w:szCs w:val="32"/>
        </w:rPr>
        <w:t>万元，</w:t>
      </w:r>
      <w:r>
        <w:rPr>
          <w:rFonts w:hint="eastAsia" w:ascii="TimesNewRoman" w:hAnsi="TimesNewRoman" w:eastAsia="仿宋_GB2312" w:cs="TimesNewRoman"/>
          <w:kern w:val="0"/>
          <w:sz w:val="32"/>
          <w:szCs w:val="32"/>
        </w:rPr>
        <w:t>占</w:t>
      </w:r>
      <w:r>
        <w:rPr>
          <w:rFonts w:hint="eastAsia" w:ascii="??_GB2312" w:hAnsi="仿宋" w:eastAsia="宋体" w:cs="Times New Roman"/>
          <w:kern w:val="2"/>
          <w:sz w:val="32"/>
          <w:szCs w:val="32"/>
          <w:lang w:val="en-US" w:eastAsia="zh-CN"/>
        </w:rPr>
        <w:t>61.07</w:t>
      </w:r>
      <w:r>
        <w:rPr>
          <w:rFonts w:ascii="??_GB2312" w:hAnsi="仿宋" w:eastAsia="Times New Roman" w:cs="Times New Roman"/>
          <w:kern w:val="2"/>
          <w:sz w:val="32"/>
          <w:szCs w:val="32"/>
        </w:rPr>
        <w:t>%。</w:t>
      </w:r>
    </w:p>
    <w:p w14:paraId="792380C2">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647B918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1、社会保障和就业支出（类）行政事业单位离退休（款）归口管理的行政事业单位离退休（项）202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11.82</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1.29</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9.83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1人</w:t>
      </w:r>
      <w:r>
        <w:rPr>
          <w:rFonts w:hint="eastAsia" w:ascii="TimesNewRoman" w:hAnsi="TimesNewRoman" w:eastAsia="仿宋_GB2312" w:cs="TimesNewRoman"/>
          <w:kern w:val="0"/>
          <w:sz w:val="32"/>
          <w:szCs w:val="32"/>
        </w:rPr>
        <w:t>退休人员</w:t>
      </w:r>
      <w:r>
        <w:rPr>
          <w:rFonts w:hint="eastAsia" w:ascii="TimesNewRoman" w:hAnsi="TimesNewRoman" w:eastAsia="仿宋_GB2312" w:cs="TimesNewRoman"/>
          <w:kern w:val="0"/>
          <w:sz w:val="32"/>
          <w:szCs w:val="32"/>
          <w:lang w:eastAsia="zh-CN"/>
        </w:rPr>
        <w:t>经费</w:t>
      </w:r>
      <w:r>
        <w:rPr>
          <w:rFonts w:hint="eastAsia" w:ascii="TimesNewRoman" w:hAnsi="TimesNewRoman" w:eastAsia="仿宋_GB2312" w:cs="TimesNewRoman"/>
          <w:kern w:val="0"/>
          <w:sz w:val="32"/>
          <w:szCs w:val="32"/>
        </w:rPr>
        <w:t>预算。</w:t>
      </w:r>
    </w:p>
    <w:p w14:paraId="30F84B55">
      <w:pPr>
        <w:ind w:firstLine="640" w:firstLineChars="200"/>
        <w:rPr>
          <w:rFonts w:hint="eastAsia" w:ascii="TimesNewRoman" w:hAnsi="TimesNewRoman" w:eastAsia="仿宋_GB2312" w:cs="TimesNewRoman"/>
          <w:kern w:val="0"/>
          <w:sz w:val="32"/>
          <w:szCs w:val="32"/>
        </w:rPr>
      </w:pPr>
      <w:r>
        <w:rPr>
          <w:rFonts w:ascii="TimesNewRoman" w:hAnsi="TimesNewRoman" w:cs="TimesNewRoman"/>
          <w:kern w:val="0"/>
          <w:sz w:val="32"/>
          <w:szCs w:val="32"/>
        </w:rPr>
        <w:t>2</w:t>
      </w:r>
      <w:r>
        <w:rPr>
          <w:rFonts w:hint="eastAsia" w:ascii="宋体" w:hAnsi="宋体" w:cs="宋体"/>
          <w:kern w:val="0"/>
          <w:sz w:val="32"/>
          <w:szCs w:val="32"/>
        </w:rPr>
        <w:t>、</w:t>
      </w:r>
      <w:r>
        <w:rPr>
          <w:rFonts w:hint="eastAsia" w:ascii="TimesNewRoman" w:hAnsi="TimesNewRoman" w:eastAsia="仿宋_GB2312" w:cs="TimesNewRoman"/>
          <w:kern w:val="0"/>
          <w:sz w:val="32"/>
          <w:szCs w:val="32"/>
        </w:rPr>
        <w:t>住房保障支出（类）住房改革支出（款）住房公积金（项）202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年预算10.4</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0.01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0.1</w:t>
      </w:r>
      <w:r>
        <w:rPr>
          <w:rFonts w:hint="eastAsia" w:ascii="TimesNewRoman" w:hAnsi="TimesNewRoman" w:eastAsia="仿宋_GB2312" w:cs="TimesNewRoman"/>
          <w:kern w:val="0"/>
          <w:sz w:val="32"/>
          <w:szCs w:val="32"/>
        </w:rPr>
        <w:t>%，原因主要是人员经费增加,住房公积金基数调整。</w:t>
      </w:r>
    </w:p>
    <w:p w14:paraId="2C644839">
      <w:pPr>
        <w:adjustRightInd w:val="0"/>
        <w:snapToGrid w:val="0"/>
        <w:spacing w:line="600" w:lineRule="exact"/>
        <w:ind w:firstLine="640" w:firstLineChars="200"/>
        <w:rPr>
          <w:rFonts w:ascii="TimesNewRoman" w:hAnsi="TimesNewRoman" w:cs="TimesNewRoman"/>
          <w:kern w:val="0"/>
          <w:sz w:val="32"/>
          <w:szCs w:val="32"/>
        </w:rPr>
      </w:pPr>
      <w:r>
        <w:rPr>
          <w:rFonts w:ascii="TimesNewRoman" w:hAnsi="TimesNewRoman" w:cs="TimesNewRoman"/>
          <w:kern w:val="0"/>
          <w:sz w:val="32"/>
          <w:szCs w:val="32"/>
        </w:rPr>
        <w:t>3</w:t>
      </w:r>
      <w:r>
        <w:rPr>
          <w:rFonts w:hint="eastAsia" w:ascii="TimesNewRoman" w:hAnsi="TimesNewRoman" w:cs="TimesNewRoman"/>
          <w:kern w:val="0"/>
          <w:sz w:val="32"/>
          <w:szCs w:val="32"/>
        </w:rPr>
        <w:t>、</w:t>
      </w:r>
      <w:r>
        <w:rPr>
          <w:rFonts w:hint="eastAsia" w:ascii="TimesNewRoman" w:hAnsi="TimesNewRoman" w:eastAsia="仿宋_GB2312" w:cs="TimesNewRoman"/>
          <w:kern w:val="0"/>
          <w:sz w:val="32"/>
          <w:szCs w:val="32"/>
        </w:rPr>
        <w:t>住房保障支出（类）住房改革支出（款）购房补贴（项）202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年预算4.3</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0.01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0.23</w:t>
      </w:r>
      <w:r>
        <w:rPr>
          <w:rFonts w:hint="eastAsia" w:ascii="TimesNewRoman" w:hAnsi="TimesNewRoman" w:eastAsia="仿宋_GB2312" w:cs="TimesNewRoman"/>
          <w:kern w:val="0"/>
          <w:sz w:val="32"/>
          <w:szCs w:val="32"/>
        </w:rPr>
        <w:t>%，原因主要是人员经费增加,住房公积金基数调整。</w:t>
      </w:r>
    </w:p>
    <w:p w14:paraId="23E6A032">
      <w:pPr>
        <w:pStyle w:val="4"/>
        <w:adjustRightInd w:val="0"/>
        <w:snapToGrid w:val="0"/>
        <w:spacing w:before="0" w:beforeAutospacing="0" w:after="0" w:afterAutospacing="0" w:line="600" w:lineRule="exact"/>
        <w:ind w:firstLine="627" w:firstLineChars="196"/>
        <w:rPr>
          <w:rFonts w:hint="eastAsia" w:ascii="TimesNewRoman" w:hAnsi="TimesNewRoman" w:cs="TimesNewRoman"/>
          <w:sz w:val="32"/>
          <w:szCs w:val="32"/>
        </w:rPr>
      </w:pPr>
      <w:r>
        <w:rPr>
          <w:rFonts w:ascii="TimesNewRoman" w:hAnsi="TimesNewRoman" w:cs="TimesNewRoman"/>
          <w:sz w:val="32"/>
          <w:szCs w:val="32"/>
        </w:rPr>
        <w:t>4</w:t>
      </w:r>
      <w:r>
        <w:rPr>
          <w:rFonts w:hint="eastAsia" w:ascii="TimesNewRoman" w:hAnsi="TimesNewRoman" w:cs="TimesNewRoman"/>
          <w:sz w:val="32"/>
          <w:szCs w:val="32"/>
        </w:rPr>
        <w:t>、</w:t>
      </w:r>
      <w:r>
        <w:rPr>
          <w:rFonts w:hint="eastAsia" w:ascii="TimesNewRoman" w:hAnsi="TimesNewRoman" w:eastAsia="仿宋_GB2312" w:cs="TimesNewRoman"/>
          <w:kern w:val="0"/>
          <w:sz w:val="32"/>
          <w:szCs w:val="32"/>
        </w:rPr>
        <w:t>住房保障支出（类）住房改革支出（款）</w:t>
      </w:r>
      <w:r>
        <w:rPr>
          <w:rFonts w:hint="eastAsia" w:ascii="TimesNewRoman" w:hAnsi="TimesNewRoman" w:eastAsia="仿宋_GB2312" w:cs="TimesNewRoman"/>
          <w:kern w:val="0"/>
          <w:sz w:val="32"/>
          <w:szCs w:val="32"/>
          <w:lang w:eastAsia="zh-CN"/>
        </w:rPr>
        <w:t>提租补贴</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2.60</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2.60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2023年预算没有提组补贴，2024年预算有提租补贴</w:t>
      </w:r>
      <w:r>
        <w:rPr>
          <w:rFonts w:hint="eastAsia" w:ascii="TimesNewRoman" w:hAnsi="TimesNewRoman" w:eastAsia="仿宋_GB2312" w:cs="TimesNewRoman"/>
          <w:kern w:val="0"/>
          <w:sz w:val="32"/>
          <w:szCs w:val="32"/>
        </w:rPr>
        <w:t>。</w:t>
      </w:r>
    </w:p>
    <w:p w14:paraId="327C9137">
      <w:pPr>
        <w:pStyle w:val="4"/>
        <w:adjustRightInd w:val="0"/>
        <w:snapToGrid w:val="0"/>
        <w:spacing w:before="0" w:beforeAutospacing="0" w:after="0" w:afterAutospacing="0" w:line="600" w:lineRule="exact"/>
        <w:ind w:firstLine="627" w:firstLineChars="196"/>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5、社会保障和就业支出（类）行政事业单位离退休（款）机关事业单位基本养老保险缴费支出（项）2024年预算10.29万元，比2023年预算增加0.10万元，</w:t>
      </w:r>
      <w:bookmarkStart w:id="0" w:name="_Hlk127459637"/>
      <w:r>
        <w:rPr>
          <w:rFonts w:hint="eastAsia" w:ascii="TimesNewRoman" w:hAnsi="TimesNewRoman" w:eastAsia="仿宋_GB2312" w:cs="TimesNewRoman"/>
          <w:kern w:val="0"/>
          <w:sz w:val="32"/>
          <w:szCs w:val="32"/>
          <w:lang w:val="en-US" w:eastAsia="zh-CN" w:bidi="ar-SA"/>
        </w:rPr>
        <w:t>增长1%，</w:t>
      </w:r>
      <w:bookmarkEnd w:id="0"/>
      <w:r>
        <w:rPr>
          <w:rFonts w:hint="eastAsia" w:ascii="TimesNewRoman" w:hAnsi="TimesNewRoman" w:eastAsia="仿宋_GB2312" w:cs="TimesNewRoman"/>
          <w:kern w:val="0"/>
          <w:sz w:val="32"/>
          <w:szCs w:val="32"/>
          <w:lang w:val="en-US" w:eastAsia="zh-CN" w:bidi="ar-SA"/>
        </w:rPr>
        <w:t>增长原因主要是人员经费增加，故养老保险费用增加。</w:t>
      </w:r>
    </w:p>
    <w:p w14:paraId="700F38E3">
      <w:pPr>
        <w:pStyle w:val="4"/>
        <w:adjustRightInd w:val="0"/>
        <w:snapToGrid w:val="0"/>
        <w:spacing w:before="0" w:beforeAutospacing="0" w:after="0" w:afterAutospacing="0" w:line="600" w:lineRule="exact"/>
        <w:ind w:firstLine="627" w:firstLineChars="196"/>
        <w:rPr>
          <w:rFonts w:hint="eastAsia" w:ascii="TimesNewRoman" w:hAnsi="TimesNewRoman" w:eastAsia="仿宋_GB2312" w:cs="TimesNewRoman"/>
          <w:kern w:val="0"/>
          <w:sz w:val="32"/>
          <w:szCs w:val="32"/>
          <w:lang w:val="en-US" w:eastAsia="zh-CN" w:bidi="ar-SA"/>
        </w:rPr>
      </w:pPr>
      <w:r>
        <w:rPr>
          <w:rFonts w:hint="eastAsia" w:ascii="TimesNewRoman" w:hAnsi="TimesNewRoman" w:cs="TimesNewRoman"/>
          <w:sz w:val="32"/>
          <w:szCs w:val="32"/>
          <w:lang w:val="en-US" w:eastAsia="zh-CN"/>
        </w:rPr>
        <w:t>6、</w:t>
      </w:r>
      <w:r>
        <w:rPr>
          <w:rFonts w:ascii="TimesNewRoman" w:hAnsi="TimesNewRoman" w:cs="TimesNewRoman"/>
          <w:sz w:val="32"/>
          <w:szCs w:val="32"/>
        </w:rPr>
        <w:t xml:space="preserve"> </w:t>
      </w:r>
      <w:r>
        <w:rPr>
          <w:rFonts w:hint="eastAsia" w:ascii="TimesNewRoman" w:hAnsi="TimesNewRoman" w:eastAsia="仿宋_GB2312" w:cs="TimesNewRoman"/>
          <w:kern w:val="0"/>
          <w:sz w:val="32"/>
          <w:szCs w:val="32"/>
          <w:lang w:val="en-US" w:eastAsia="zh-CN" w:bidi="ar-SA"/>
        </w:rPr>
        <w:t>社会保障和就业支出（类）行政事业单位离退休（款）机关事业单位职业年金缴费支出（项）2024年预算5.15万元，比2023年预算净增加0.06万元，增长1.18%，</w:t>
      </w:r>
      <w:bookmarkStart w:id="1" w:name="_Hlk127460009"/>
      <w:r>
        <w:rPr>
          <w:rFonts w:hint="eastAsia" w:ascii="TimesNewRoman" w:hAnsi="TimesNewRoman" w:eastAsia="仿宋_GB2312" w:cs="TimesNewRoman"/>
          <w:kern w:val="0"/>
          <w:sz w:val="32"/>
          <w:szCs w:val="32"/>
          <w:lang w:val="en-US" w:eastAsia="zh-CN" w:bidi="ar-SA"/>
        </w:rPr>
        <w:t>增长原因主要是有人员经费增加，</w:t>
      </w:r>
      <w:bookmarkEnd w:id="1"/>
      <w:r>
        <w:rPr>
          <w:rFonts w:hint="eastAsia" w:ascii="TimesNewRoman" w:hAnsi="TimesNewRoman" w:eastAsia="仿宋_GB2312" w:cs="TimesNewRoman"/>
          <w:kern w:val="0"/>
          <w:sz w:val="32"/>
          <w:szCs w:val="32"/>
          <w:lang w:val="en-US" w:eastAsia="zh-CN" w:bidi="ar-SA"/>
        </w:rPr>
        <w:t>故机关事业单位职业年金缴费支出增加。</w:t>
      </w:r>
    </w:p>
    <w:p w14:paraId="3387F96A">
      <w:pPr>
        <w:pStyle w:val="4"/>
        <w:adjustRightInd w:val="0"/>
        <w:snapToGrid w:val="0"/>
        <w:spacing w:before="0" w:beforeAutospacing="0" w:after="0" w:afterAutospacing="0" w:line="600" w:lineRule="exact"/>
        <w:ind w:firstLine="627" w:firstLineChars="196"/>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7、社会保障和就业支出（类）其他社会保障和就业支出（款）其他社会保障和就业支出（项）2024年预算0.33万元，比2023年预算增加0万元，与2023年预算持平。</w:t>
      </w:r>
    </w:p>
    <w:p w14:paraId="3E816FB1">
      <w:pPr>
        <w:pStyle w:val="4"/>
        <w:adjustRightInd w:val="0"/>
        <w:snapToGrid w:val="0"/>
        <w:spacing w:before="0" w:beforeAutospacing="0" w:after="0" w:afterAutospacing="0" w:line="600" w:lineRule="exact"/>
        <w:ind w:firstLine="627" w:firstLineChars="196"/>
        <w:rPr>
          <w:sz w:val="32"/>
          <w:szCs w:val="32"/>
        </w:rPr>
      </w:pPr>
      <w:r>
        <w:rPr>
          <w:rFonts w:hint="eastAsia" w:ascii="TimesNewRoman" w:hAnsi="TimesNewRoman" w:cs="TimesNewRoman"/>
          <w:sz w:val="32"/>
          <w:szCs w:val="32"/>
          <w:lang w:val="en-US" w:eastAsia="zh-CN"/>
        </w:rPr>
        <w:t>8、</w:t>
      </w:r>
      <w:r>
        <w:rPr>
          <w:rFonts w:ascii="TimesNewRoman" w:hAnsi="TimesNewRoman" w:cs="TimesNewRoman"/>
          <w:sz w:val="32"/>
          <w:szCs w:val="32"/>
        </w:rPr>
        <w:t xml:space="preserve"> </w:t>
      </w:r>
      <w:r>
        <w:rPr>
          <w:rFonts w:hint="eastAsia" w:ascii="TimesNewRoman" w:hAnsi="TimesNewRoman" w:eastAsia="仿宋_GB2312" w:cs="TimesNewRoman"/>
          <w:kern w:val="0"/>
          <w:sz w:val="32"/>
          <w:szCs w:val="32"/>
          <w:lang w:val="en-US" w:eastAsia="zh-CN" w:bidi="ar-SA"/>
        </w:rPr>
        <w:t>卫生健康支出（类）行政事业单位医疗（款）事业单位医疗（项）2024年预算3.96万元，比2023年预算增加0.05万元，增长1.28%，增长原因主要是人员经费增加，，故事业单位医疗支出增加</w:t>
      </w:r>
      <w:r>
        <w:rPr>
          <w:rFonts w:hint="eastAsia"/>
          <w:sz w:val="32"/>
          <w:szCs w:val="32"/>
        </w:rPr>
        <w:t>。</w:t>
      </w:r>
    </w:p>
    <w:p w14:paraId="78055C26">
      <w:pPr>
        <w:pStyle w:val="4"/>
        <w:adjustRightInd w:val="0"/>
        <w:snapToGrid w:val="0"/>
        <w:spacing w:before="0" w:beforeAutospacing="0" w:after="0" w:afterAutospacing="0" w:line="600" w:lineRule="exact"/>
        <w:ind w:firstLine="627" w:firstLineChars="196"/>
        <w:rPr>
          <w:rFonts w:hint="eastAsia" w:ascii="TimesNewRoman" w:hAnsi="TimesNewRoman" w:eastAsia="仿宋_GB2312" w:cs="TimesNewRoman"/>
          <w:kern w:val="0"/>
          <w:sz w:val="32"/>
          <w:szCs w:val="32"/>
          <w:lang w:val="en-US" w:eastAsia="zh-CN" w:bidi="ar-SA"/>
        </w:rPr>
      </w:pPr>
      <w:r>
        <w:rPr>
          <w:rFonts w:hint="eastAsia" w:ascii="TimesNewRoman" w:hAnsi="TimesNewRoman" w:cs="TimesNewRoman"/>
          <w:sz w:val="32"/>
          <w:szCs w:val="32"/>
          <w:lang w:val="en-US" w:eastAsia="zh-CN"/>
        </w:rPr>
        <w:t>9、</w:t>
      </w:r>
      <w:r>
        <w:rPr>
          <w:rFonts w:ascii="TimesNewRoman" w:hAnsi="TimesNewRoman" w:cs="TimesNewRoman"/>
          <w:sz w:val="32"/>
          <w:szCs w:val="32"/>
        </w:rPr>
        <w:t xml:space="preserve"> </w:t>
      </w:r>
      <w:r>
        <w:rPr>
          <w:rFonts w:hint="eastAsia" w:ascii="TimesNewRoman" w:hAnsi="TimesNewRoman" w:eastAsia="仿宋_GB2312" w:cs="TimesNewRoman"/>
          <w:kern w:val="0"/>
          <w:sz w:val="32"/>
          <w:szCs w:val="32"/>
          <w:lang w:val="en-US" w:eastAsia="zh-CN" w:bidi="ar-SA"/>
        </w:rPr>
        <w:t>卫生健康支出（类）行政事业单位医疗（款）公务员医疗补助（项）2024年预算2.07万元，比2023年预算减少0.11万元，下降5.05%，下降原因主要是退休人员减少1人经费预算。</w:t>
      </w:r>
    </w:p>
    <w:p w14:paraId="3D589E23">
      <w:pPr>
        <w:pStyle w:val="4"/>
        <w:adjustRightInd w:val="0"/>
        <w:snapToGrid w:val="0"/>
        <w:spacing w:before="0" w:beforeAutospacing="0" w:after="0" w:afterAutospacing="0" w:line="600" w:lineRule="exact"/>
        <w:ind w:firstLine="627" w:firstLineChars="196"/>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10、农林水支出（类）农业农村（款）事业运行（项）2024年预算79.93万元，比2023年预算减少3.1万元，下降3.73%，下降原因主要是退休人员减少1人经费预算，故事业运行支出预算较上年减少。</w:t>
      </w:r>
    </w:p>
    <w:p w14:paraId="27A303E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14:paraId="3D6FF85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rPr>
        <w:t>水产技术中心</w:t>
      </w:r>
      <w:r>
        <w:rPr>
          <w:rFonts w:hint="eastAsia" w:ascii="TimesNewRoman" w:hAnsi="TimesNewRoman" w:eastAsia="仿宋_GB2312" w:cs="TimesNewRoman"/>
          <w:kern w:val="0"/>
          <w:sz w:val="32"/>
          <w:szCs w:val="32"/>
        </w:rPr>
        <w:t>2024年一般公共预算基本支出</w:t>
      </w:r>
      <w:r>
        <w:rPr>
          <w:rFonts w:hint="eastAsia" w:ascii="TimesNewRoman" w:hAnsi="TimesNewRoman" w:eastAsia="仿宋_GB2312" w:cs="TimesNewRoman"/>
          <w:kern w:val="0"/>
          <w:sz w:val="32"/>
          <w:szCs w:val="32"/>
          <w:lang w:val="en-US" w:eastAsia="zh-CN"/>
        </w:rPr>
        <w:t>125.9</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118.7</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7.2</w:t>
      </w:r>
      <w:r>
        <w:rPr>
          <w:rFonts w:hint="eastAsia" w:ascii="TimesNewRoman" w:hAnsi="TimesNewRoman" w:eastAsia="仿宋_GB2312" w:cs="TimesNewRoman"/>
          <w:kern w:val="0"/>
          <w:sz w:val="32"/>
          <w:szCs w:val="32"/>
        </w:rPr>
        <w:t>万元。</w:t>
      </w:r>
    </w:p>
    <w:p w14:paraId="6212F12B">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118.7</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伙食补助费、绩效工资、机关事业单位基本养老保险费、职业年金缴费、职工基本医疗保险缴费、公务员医疗补助缴费、其他社会保障缴费、工会经费、福利费、住房公积金、医疗费、其他工资福利支出、离休费、退休费、退职（役）费、抚恤金、生活补助、医疗费补助、助学金、对其他个人和家庭的补助支出。</w:t>
      </w:r>
    </w:p>
    <w:p w14:paraId="17B8F5CE">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7.2</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印刷费、水费、电费、邮电费、取暖费、差旅费、租赁费、会议费、培训费、公务接待费、专用材料费、专用燃料费、劳务费、委托业务费、公务用车运行维护费、其他商品服务支出、办公设备购置、专用设备购置等。</w:t>
      </w:r>
    </w:p>
    <w:p w14:paraId="2AB6255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14:paraId="052D5D5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淮北市水产技术中心202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年没有政府性基金预算拨款收入，也没有使用政府性基金预算拨款安排的支出。</w:t>
      </w:r>
    </w:p>
    <w:p w14:paraId="2F4520F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14:paraId="371B817D">
      <w:pPr>
        <w:pStyle w:val="4"/>
        <w:adjustRightInd w:val="0"/>
        <w:snapToGrid w:val="0"/>
        <w:spacing w:before="0" w:beforeAutospacing="0" w:after="0" w:afterAutospacing="0" w:line="600" w:lineRule="exact"/>
        <w:ind w:firstLine="640" w:firstLineChars="200"/>
        <w:rPr>
          <w:rFonts w:ascii="??_GB2312" w:hAnsi="仿宋" w:eastAsia="Times New Roman"/>
          <w:sz w:val="32"/>
          <w:szCs w:val="32"/>
        </w:rPr>
      </w:pPr>
      <w:r>
        <w:rPr>
          <w:rFonts w:hint="eastAsia" w:ascii="TimesNewRoman" w:hAnsi="TimesNewRoman" w:eastAsia="仿宋_GB2312" w:cs="TimesNewRoman"/>
          <w:kern w:val="0"/>
          <w:sz w:val="32"/>
          <w:szCs w:val="32"/>
          <w:lang w:val="en-US" w:eastAsia="zh-CN" w:bidi="ar-SA"/>
        </w:rPr>
        <w:t>淮北市水产技术中心2024年没有国有资本经营预算拨款收入，也没有使用国有资本经营预算拨款安排的支出。</w:t>
      </w:r>
    </w:p>
    <w:p w14:paraId="659F2BF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14:paraId="5C1EBB72">
      <w:pPr>
        <w:ind w:firstLine="640" w:firstLineChars="200"/>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淮北市水产技术中心2024年预算共安排项目支出5万元，与2023年预算持平。主要包括：本年财政拨款安排5万元（其中，一般公共预算拨款安排5万元，政府性基金预算拨款安排0万元），财政专户管理资金安排0万元。</w:t>
      </w:r>
    </w:p>
    <w:p w14:paraId="2CBF1FE6">
      <w:pPr>
        <w:pStyle w:val="4"/>
        <w:numPr>
          <w:ilvl w:val="0"/>
          <w:numId w:val="2"/>
        </w:numPr>
        <w:adjustRightInd w:val="0"/>
        <w:snapToGrid w:val="0"/>
        <w:spacing w:before="0" w:beforeAutospacing="0" w:after="0" w:afterAutospacing="0" w:line="600" w:lineRule="exact"/>
        <w:ind w:firstLine="640" w:firstLineChars="200"/>
        <w:outlineLvl w:val="0"/>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关于2024年政府采购支出表的说明</w:t>
      </w:r>
    </w:p>
    <w:p w14:paraId="4EBD02F2">
      <w:pPr>
        <w:pStyle w:val="4"/>
        <w:numPr>
          <w:ilvl w:val="0"/>
          <w:numId w:val="0"/>
        </w:numPr>
        <w:adjustRightInd w:val="0"/>
        <w:snapToGrid w:val="0"/>
        <w:spacing w:before="0" w:beforeAutospacing="0" w:after="0" w:afterAutospacing="0" w:line="600" w:lineRule="exact"/>
        <w:ind w:firstLine="640" w:firstLineChars="200"/>
        <w:outlineLvl w:val="0"/>
        <w:rPr>
          <w:rFonts w:ascii="??_GB2312" w:hAnsi="仿宋" w:eastAsia="Times New Roman"/>
          <w:sz w:val="32"/>
          <w:szCs w:val="32"/>
        </w:rPr>
      </w:pPr>
      <w:r>
        <w:rPr>
          <w:rFonts w:hint="eastAsia" w:ascii="TimesNewRoman" w:hAnsi="TimesNewRoman" w:eastAsia="仿宋_GB2312" w:cs="TimesNewRoman"/>
          <w:kern w:val="0"/>
          <w:sz w:val="32"/>
          <w:szCs w:val="32"/>
          <w:lang w:val="en-US" w:eastAsia="zh-CN" w:bidi="ar-SA"/>
        </w:rPr>
        <w:t>淮北市水产技术中心2024年没有使用一般公共预算拨款、政府性基金预算拨款、国有资本经营预算拨款、财政专户管理资金和单位资金安排的政府采购支出。</w:t>
      </w:r>
    </w:p>
    <w:p w14:paraId="46F98CB9">
      <w:pPr>
        <w:ind w:firstLine="640" w:firstLineChars="200"/>
        <w:rPr>
          <w:rFonts w:ascii="TimesNewRoman" w:hAnsi="TimesNewRoman" w:eastAsia="仿宋_GB2312" w:cs="TimesNewRoman"/>
          <w:kern w:val="0"/>
          <w:sz w:val="32"/>
          <w:szCs w:val="32"/>
        </w:rPr>
      </w:pPr>
    </w:p>
    <w:p w14:paraId="3A28935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14:paraId="74C17C17">
      <w:pPr>
        <w:pStyle w:val="4"/>
        <w:numPr>
          <w:ilvl w:val="0"/>
          <w:numId w:val="0"/>
        </w:numPr>
        <w:adjustRightInd w:val="0"/>
        <w:snapToGrid w:val="0"/>
        <w:spacing w:before="0" w:beforeAutospacing="0" w:after="0" w:afterAutospacing="0" w:line="600" w:lineRule="exact"/>
        <w:ind w:firstLine="640" w:firstLineChars="200"/>
        <w:outlineLvl w:val="0"/>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淮北市水产技术中心2024年没有安排政府购买服务支出。</w:t>
      </w:r>
    </w:p>
    <w:p w14:paraId="591C673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7EAE1929">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1A345FF1">
      <w:pPr>
        <w:ind w:firstLine="960" w:firstLineChars="3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1、“水产工作专项经费”项目。</w:t>
      </w:r>
    </w:p>
    <w:p w14:paraId="2476481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项目主要内容是：一、承担我市水产新品种、新技术的引进、试验、示范、推广；进行鱼病测报、预报和防治；实施渔业资源增殖放流和渔业资源养护；进行水产品质量安全监管和采样送检工作；负责全市渔业生产安全管理工作，落实各项惠渔政策。保障全市水产品质量安全和渔业生产安全，为我市渔业健康、快速、平稳发展做出贡献，为我市渔民增收、渔业增效、渔区稳定保驾护航。二、根据皖长江禁捕退捕办要求，开展我市减船转产渔民就业培训，促进渔民转产转业，确保捕捞退得出，渔民稳得住，禁捕管的好。</w:t>
      </w:r>
    </w:p>
    <w:p w14:paraId="42DA443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一、工作职能依据：市水产技术中心负责渔业养殖水域污染事故调查处理、渔业资源养护（增殖放流）；水产品质量安全的动态监测、抽样送检、水生动物的防疫、检疫相关工作；水产新品种、新技术的引进、试验、示范与推广；水产技术咨询、信息服务；水产行业专业技术培训；水产养殖病害的测报、预防与控制；落实中央惠渔政策并帮助政府出台各项渔业政策。二、法律法规依据：1、《中华人民共和国渔业法》第二章第十六条“国家鼓励和支持水产优良品种的选育、培育和推广。”2、《农业部关于加强渔业资源增殖放流工作的通知》第三条“各地要加大渔业资源增殖放流资金投入，将经费计划纳入同级人民政府财政预算。”3、《安徽省实施中国水生生物资源养护行动纲要方案》第四条第二款“各级财政要加大生物资源养护经费的整合力度。” 4、《农产品质量安全法》第一章第四条：县级以上人民政府应当将农产品质量安全管理工作纳入本级国民经济和社会发展规划，并安排农产品质量安全经费，用于开展农产品质量安全工作。</w:t>
      </w:r>
    </w:p>
    <w:p w14:paraId="5767404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（3）实施主体。淮北市水产技术中心</w:t>
      </w:r>
    </w:p>
    <w:p w14:paraId="694BE71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年1月1日起202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年12月31日止。</w:t>
      </w:r>
    </w:p>
    <w:p w14:paraId="793BBB0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承担我市水产新品种、新技术的引进、试验、示范、推广；进行鱼病测报、预报和防治；实施渔业资源增殖放流和水产生物资源养护；进行水产品质量安全监管和采样送检工作；负责全市渔业生产安全管理工作，落实各项惠渔政策。保障全市水产品质量安全和渔业生产安全，为我市渔业健康、快速、平稳发展做出贡献，为我市渔民增收、渔业增效、渔区稳定保驾护航。</w:t>
      </w:r>
    </w:p>
    <w:p w14:paraId="7C679F3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年预算安排资金5万元。</w:t>
      </w:r>
    </w:p>
    <w:p w14:paraId="7AD91A50">
      <w:pPr>
        <w:adjustRightInd w:val="0"/>
        <w:snapToGrid w:val="0"/>
        <w:spacing w:line="60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通过做好我市水产业务专项工作，调整我市渔业养殖结构，为我市水产业健康快速发展提供技术支撑和保障；使我市达到无重大水产品质量安全和渔业生产安全事故目标，确保渔民生命、财产安全；为我市水产业快速健康发展提供技术保障。项目常年有序进行，每年度按项目要求完成年度目标任务。</w:t>
      </w:r>
    </w:p>
    <w:p w14:paraId="1552E2E9">
      <w:pPr>
        <w:ind w:firstLine="640" w:firstLineChars="200"/>
        <w:rPr>
          <w:rFonts w:ascii="TimesNewRoman" w:hAnsi="TimesNewRoman" w:eastAsia="仿宋_GB2312" w:cs="TimesNewRoman"/>
          <w:kern w:val="0"/>
          <w:sz w:val="32"/>
          <w:szCs w:val="32"/>
        </w:rPr>
      </w:pPr>
    </w:p>
    <w:p w14:paraId="51ABE45B">
      <w:pPr>
        <w:ind w:firstLine="640" w:firstLineChars="200"/>
        <w:rPr>
          <w:rFonts w:ascii="TimesNewRoman" w:hAnsi="TimesNewRoman" w:eastAsia="仿宋_GB2312" w:cs="TimesNewRoman"/>
          <w:kern w:val="0"/>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3232"/>
        <w:gridCol w:w="1488"/>
        <w:gridCol w:w="2380"/>
      </w:tblGrid>
      <w:tr w14:paraId="1FEA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78C0EFF">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14:paraId="097C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722DA56E">
            <w:pPr>
              <w:widowControl/>
              <w:jc w:val="center"/>
              <w:textAlignment w:val="center"/>
              <w:rPr>
                <w:rFonts w:ascii="宋体" w:cs="宋体"/>
                <w:sz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w:t>
            </w:r>
            <w:r>
              <w:rPr>
                <w:rFonts w:ascii="宋体" w:hAnsi="宋体" w:cs="宋体"/>
                <w:color w:val="000000"/>
                <w:kern w:val="0"/>
                <w:sz w:val="20"/>
                <w:szCs w:val="20"/>
              </w:rPr>
              <w:t>202</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年度）</w:t>
            </w:r>
            <w:r>
              <w:rPr>
                <w:rFonts w:ascii="宋体" w:hAnsi="宋体" w:cs="宋体"/>
                <w:color w:val="000000"/>
                <w:kern w:val="0"/>
                <w:sz w:val="20"/>
                <w:szCs w:val="20"/>
              </w:rPr>
              <w:t xml:space="preserve">                                </w:t>
            </w:r>
          </w:p>
        </w:tc>
      </w:tr>
      <w:tr w14:paraId="71D0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Align w:val="center"/>
          </w:tcPr>
          <w:p w14:paraId="1E5A66D0">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vAlign w:val="center"/>
          </w:tcPr>
          <w:p w14:paraId="10C37D54">
            <w:pPr>
              <w:jc w:val="center"/>
              <w:rPr>
                <w:rFonts w:ascii="宋体" w:cs="宋体"/>
                <w:sz w:val="20"/>
              </w:rPr>
            </w:pPr>
            <w:r>
              <w:rPr>
                <w:rFonts w:hint="eastAsia" w:ascii="宋体" w:hAnsi="宋体" w:cs="宋体"/>
                <w:kern w:val="0"/>
                <w:sz w:val="22"/>
              </w:rPr>
              <w:t>水产工作专项经费</w:t>
            </w:r>
          </w:p>
        </w:tc>
      </w:tr>
      <w:tr w14:paraId="05D3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vAlign w:val="center"/>
          </w:tcPr>
          <w:p w14:paraId="0CB1C576">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w:t>
            </w:r>
            <w:r>
              <w:rPr>
                <w:rFonts w:ascii="宋体" w:hAnsi="宋体" w:cs="宋体"/>
                <w:color w:val="000000"/>
                <w:kern w:val="0"/>
                <w:sz w:val="20"/>
                <w:szCs w:val="20"/>
              </w:rPr>
              <w:t xml:space="preserve">   </w:t>
            </w:r>
            <w:r>
              <w:rPr>
                <w:rFonts w:hint="eastAsia" w:ascii="宋体" w:hAnsi="宋体" w:cs="宋体"/>
                <w:color w:val="000000"/>
                <w:kern w:val="0"/>
                <w:sz w:val="20"/>
                <w:szCs w:val="20"/>
              </w:rPr>
              <w:t>及代码</w:t>
            </w:r>
          </w:p>
        </w:tc>
        <w:tc>
          <w:tcPr>
            <w:tcW w:w="3709" w:type="dxa"/>
            <w:gridSpan w:val="2"/>
            <w:vAlign w:val="center"/>
          </w:tcPr>
          <w:p w14:paraId="0006A6C9">
            <w:pPr>
              <w:jc w:val="center"/>
              <w:rPr>
                <w:rFonts w:ascii="宋体" w:cs="宋体"/>
                <w:sz w:val="20"/>
              </w:rPr>
            </w:pPr>
            <w:r>
              <w:rPr>
                <w:rFonts w:ascii="宋体" w:cs="宋体"/>
                <w:sz w:val="20"/>
              </w:rPr>
              <w:t>163--</w:t>
            </w:r>
            <w:r>
              <w:rPr>
                <w:rFonts w:hint="eastAsia" w:ascii="宋体" w:cs="宋体"/>
                <w:sz w:val="20"/>
              </w:rPr>
              <w:t>淮北市农业农村局</w:t>
            </w:r>
          </w:p>
        </w:tc>
        <w:tc>
          <w:tcPr>
            <w:tcW w:w="1488" w:type="dxa"/>
            <w:vAlign w:val="center"/>
          </w:tcPr>
          <w:p w14:paraId="5E665AC0">
            <w:pPr>
              <w:widowControl/>
              <w:jc w:val="center"/>
              <w:textAlignment w:val="center"/>
            </w:pPr>
            <w:r>
              <w:rPr>
                <w:rFonts w:hint="eastAsia" w:ascii="宋体" w:hAnsi="宋体" w:cs="宋体"/>
                <w:color w:val="000000"/>
                <w:kern w:val="0"/>
                <w:sz w:val="20"/>
                <w:szCs w:val="20"/>
              </w:rPr>
              <w:t>实施单位</w:t>
            </w:r>
          </w:p>
        </w:tc>
        <w:tc>
          <w:tcPr>
            <w:tcW w:w="2380" w:type="dxa"/>
            <w:vAlign w:val="center"/>
          </w:tcPr>
          <w:p w14:paraId="3BAB9406">
            <w:pPr>
              <w:jc w:val="center"/>
            </w:pPr>
            <w:r>
              <w:rPr>
                <w:rFonts w:hint="eastAsia" w:ascii="宋体" w:hAnsi="宋体" w:cs="宋体"/>
                <w:kern w:val="0"/>
                <w:sz w:val="22"/>
              </w:rPr>
              <w:t>淮北市水产技术中心</w:t>
            </w:r>
          </w:p>
        </w:tc>
      </w:tr>
      <w:tr w14:paraId="7D78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Align w:val="center"/>
          </w:tcPr>
          <w:p w14:paraId="01391A03">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709" w:type="dxa"/>
            <w:gridSpan w:val="2"/>
            <w:vAlign w:val="center"/>
          </w:tcPr>
          <w:p w14:paraId="72EC7D69">
            <w:pPr>
              <w:jc w:val="center"/>
              <w:rPr>
                <w:rFonts w:ascii="宋体" w:cs="宋体"/>
                <w:sz w:val="20"/>
              </w:rPr>
            </w:pPr>
            <w:r>
              <w:rPr>
                <w:rFonts w:hint="eastAsia" w:ascii="宋体" w:cs="宋体"/>
                <w:sz w:val="20"/>
              </w:rPr>
              <w:t>财政拨款</w:t>
            </w:r>
          </w:p>
        </w:tc>
        <w:tc>
          <w:tcPr>
            <w:tcW w:w="1488" w:type="dxa"/>
            <w:vAlign w:val="center"/>
          </w:tcPr>
          <w:p w14:paraId="04440E9D">
            <w:pPr>
              <w:widowControl/>
              <w:jc w:val="center"/>
              <w:textAlignment w:val="center"/>
            </w:pPr>
            <w:r>
              <w:rPr>
                <w:rFonts w:hint="eastAsia" w:ascii="宋体" w:hAnsi="宋体" w:cs="宋体"/>
                <w:color w:val="000000"/>
                <w:kern w:val="0"/>
                <w:sz w:val="20"/>
                <w:szCs w:val="20"/>
              </w:rPr>
              <w:t>项目期</w:t>
            </w:r>
          </w:p>
        </w:tc>
        <w:tc>
          <w:tcPr>
            <w:tcW w:w="2380" w:type="dxa"/>
            <w:vAlign w:val="center"/>
          </w:tcPr>
          <w:p w14:paraId="36DBEA70">
            <w:pPr>
              <w:jc w:val="center"/>
            </w:pPr>
            <w:r>
              <w:t>1</w:t>
            </w:r>
            <w:r>
              <w:rPr>
                <w:rFonts w:hint="eastAsia"/>
              </w:rPr>
              <w:t>年</w:t>
            </w:r>
          </w:p>
        </w:tc>
      </w:tr>
      <w:tr w14:paraId="12D4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vAlign w:val="center"/>
          </w:tcPr>
          <w:p w14:paraId="3D077200">
            <w:pPr>
              <w:widowControl/>
              <w:jc w:val="center"/>
              <w:textAlignment w:val="center"/>
              <w:rPr>
                <w:rFonts w:ascii="宋体" w:cs="宋体"/>
                <w:sz w:val="20"/>
              </w:rPr>
            </w:pPr>
            <w:r>
              <w:rPr>
                <w:rFonts w:hint="eastAsia" w:ascii="宋体" w:hAnsi="宋体" w:cs="宋体"/>
                <w:color w:val="000000"/>
                <w:kern w:val="0"/>
                <w:sz w:val="20"/>
                <w:szCs w:val="20"/>
              </w:rPr>
              <w:t>项目资金</w:t>
            </w:r>
            <w:r>
              <w:rPr>
                <w:rFonts w:ascii="宋体" w:cs="宋体"/>
                <w:color w:val="000000"/>
                <w:kern w:val="0"/>
                <w:sz w:val="20"/>
                <w:szCs w:val="20"/>
              </w:rPr>
              <w:br w:type="textWrapping"/>
            </w:r>
            <w:r>
              <w:rPr>
                <w:rFonts w:hint="eastAsia" w:ascii="宋体" w:hAnsi="宋体" w:cs="宋体"/>
                <w:color w:val="000000"/>
                <w:kern w:val="0"/>
                <w:sz w:val="20"/>
                <w:szCs w:val="20"/>
              </w:rPr>
              <w:t>（万元）</w:t>
            </w:r>
          </w:p>
        </w:tc>
        <w:tc>
          <w:tcPr>
            <w:tcW w:w="3709" w:type="dxa"/>
            <w:gridSpan w:val="2"/>
            <w:vAlign w:val="center"/>
          </w:tcPr>
          <w:p w14:paraId="06427074">
            <w:pPr>
              <w:widowControl/>
              <w:jc w:val="left"/>
              <w:textAlignment w:val="center"/>
              <w:rPr>
                <w:rFonts w:ascii="宋体" w:cs="宋体"/>
                <w:sz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年度资金总额：</w:t>
            </w:r>
          </w:p>
        </w:tc>
        <w:tc>
          <w:tcPr>
            <w:tcW w:w="3868" w:type="dxa"/>
            <w:gridSpan w:val="2"/>
            <w:vAlign w:val="center"/>
          </w:tcPr>
          <w:p w14:paraId="41FB1461">
            <w:pPr>
              <w:jc w:val="right"/>
              <w:rPr>
                <w:rFonts w:ascii="宋体" w:cs="宋体"/>
                <w:sz w:val="20"/>
              </w:rPr>
            </w:pPr>
            <w:r>
              <w:rPr>
                <w:rFonts w:ascii="宋体" w:cs="宋体"/>
                <w:sz w:val="20"/>
              </w:rPr>
              <w:t>5</w:t>
            </w:r>
          </w:p>
        </w:tc>
      </w:tr>
      <w:tr w14:paraId="1AFD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vAlign w:val="center"/>
          </w:tcPr>
          <w:p w14:paraId="7A21B969">
            <w:pPr>
              <w:jc w:val="center"/>
              <w:rPr>
                <w:rFonts w:ascii="宋体" w:cs="宋体"/>
                <w:sz w:val="20"/>
              </w:rPr>
            </w:pPr>
          </w:p>
        </w:tc>
        <w:tc>
          <w:tcPr>
            <w:tcW w:w="3709" w:type="dxa"/>
            <w:gridSpan w:val="2"/>
            <w:vAlign w:val="center"/>
          </w:tcPr>
          <w:p w14:paraId="1642AA67">
            <w:pPr>
              <w:widowControl/>
              <w:jc w:val="left"/>
              <w:textAlignment w:val="center"/>
              <w:rPr>
                <w:rFonts w:ascii="宋体" w:cs="宋体"/>
                <w:sz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其中：财政拨款</w:t>
            </w:r>
          </w:p>
        </w:tc>
        <w:tc>
          <w:tcPr>
            <w:tcW w:w="3868" w:type="dxa"/>
            <w:gridSpan w:val="2"/>
            <w:vAlign w:val="center"/>
          </w:tcPr>
          <w:p w14:paraId="7C5EED99">
            <w:pPr>
              <w:jc w:val="right"/>
              <w:rPr>
                <w:rFonts w:ascii="宋体" w:cs="宋体"/>
                <w:sz w:val="20"/>
              </w:rPr>
            </w:pPr>
            <w:r>
              <w:rPr>
                <w:rFonts w:ascii="宋体" w:cs="宋体"/>
                <w:sz w:val="20"/>
              </w:rPr>
              <w:t>5</w:t>
            </w:r>
          </w:p>
        </w:tc>
      </w:tr>
      <w:tr w14:paraId="6EAE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vAlign w:val="center"/>
          </w:tcPr>
          <w:p w14:paraId="1469B192">
            <w:pPr>
              <w:jc w:val="center"/>
              <w:rPr>
                <w:rFonts w:ascii="宋体" w:cs="宋体"/>
                <w:sz w:val="20"/>
              </w:rPr>
            </w:pPr>
          </w:p>
        </w:tc>
        <w:tc>
          <w:tcPr>
            <w:tcW w:w="3709" w:type="dxa"/>
            <w:gridSpan w:val="2"/>
            <w:vAlign w:val="center"/>
          </w:tcPr>
          <w:p w14:paraId="2C6C5E4E">
            <w:pPr>
              <w:widowControl/>
              <w:jc w:val="left"/>
              <w:textAlignment w:val="center"/>
              <w:rPr>
                <w:rFonts w:ascii="宋体" w:cs="宋体"/>
                <w:sz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上年结转</w:t>
            </w:r>
          </w:p>
        </w:tc>
        <w:tc>
          <w:tcPr>
            <w:tcW w:w="3868" w:type="dxa"/>
            <w:gridSpan w:val="2"/>
            <w:vAlign w:val="center"/>
          </w:tcPr>
          <w:p w14:paraId="6A9D7A49">
            <w:pPr>
              <w:jc w:val="center"/>
              <w:rPr>
                <w:rFonts w:ascii="宋体" w:cs="宋体"/>
                <w:sz w:val="20"/>
              </w:rPr>
            </w:pPr>
          </w:p>
        </w:tc>
      </w:tr>
      <w:tr w14:paraId="1C00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vAlign w:val="center"/>
          </w:tcPr>
          <w:p w14:paraId="511CAEFF">
            <w:pPr>
              <w:jc w:val="center"/>
              <w:rPr>
                <w:rFonts w:ascii="宋体" w:cs="宋体"/>
                <w:sz w:val="20"/>
              </w:rPr>
            </w:pPr>
          </w:p>
        </w:tc>
        <w:tc>
          <w:tcPr>
            <w:tcW w:w="3709" w:type="dxa"/>
            <w:gridSpan w:val="2"/>
            <w:vAlign w:val="center"/>
          </w:tcPr>
          <w:p w14:paraId="17A0E7A8">
            <w:pPr>
              <w:widowControl/>
              <w:jc w:val="left"/>
              <w:textAlignment w:val="center"/>
              <w:rPr>
                <w:rFonts w:ascii="宋体" w:cs="宋体"/>
                <w:sz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其他资金</w:t>
            </w:r>
          </w:p>
        </w:tc>
        <w:tc>
          <w:tcPr>
            <w:tcW w:w="3868" w:type="dxa"/>
            <w:gridSpan w:val="2"/>
            <w:vAlign w:val="center"/>
          </w:tcPr>
          <w:p w14:paraId="4DB8BE4F">
            <w:pPr>
              <w:jc w:val="right"/>
              <w:rPr>
                <w:rFonts w:ascii="宋体" w:cs="宋体"/>
                <w:sz w:val="20"/>
              </w:rPr>
            </w:pPr>
          </w:p>
        </w:tc>
      </w:tr>
      <w:tr w14:paraId="1CD3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vAlign w:val="center"/>
          </w:tcPr>
          <w:p w14:paraId="73FE9ACC">
            <w:pPr>
              <w:widowControl/>
              <w:spacing w:line="200" w:lineRule="exact"/>
              <w:jc w:val="center"/>
              <w:textAlignment w:val="center"/>
              <w:rPr>
                <w:rFonts w:ascii="宋体" w:cs="宋体"/>
                <w:sz w:val="20"/>
              </w:rPr>
            </w:pPr>
            <w:r>
              <w:rPr>
                <w:rFonts w:hint="eastAsia" w:ascii="宋体" w:hAnsi="宋体" w:cs="宋体"/>
                <w:color w:val="000000"/>
                <w:kern w:val="0"/>
                <w:sz w:val="20"/>
                <w:szCs w:val="20"/>
              </w:rPr>
              <w:t>年度</w:t>
            </w:r>
            <w:r>
              <w:rPr>
                <w:rFonts w:ascii="宋体" w:cs="宋体"/>
                <w:color w:val="000000"/>
                <w:kern w:val="0"/>
                <w:sz w:val="20"/>
                <w:szCs w:val="20"/>
              </w:rPr>
              <w:br w:type="textWrapping"/>
            </w:r>
            <w:r>
              <w:rPr>
                <w:rFonts w:hint="eastAsia" w:ascii="宋体" w:hAnsi="宋体" w:cs="宋体"/>
                <w:color w:val="000000"/>
                <w:kern w:val="0"/>
                <w:sz w:val="20"/>
                <w:szCs w:val="20"/>
              </w:rPr>
              <w:t>目标</w:t>
            </w:r>
          </w:p>
        </w:tc>
        <w:tc>
          <w:tcPr>
            <w:tcW w:w="8582" w:type="dxa"/>
            <w:gridSpan w:val="6"/>
            <w:vAlign w:val="center"/>
          </w:tcPr>
          <w:p w14:paraId="135B1BF8">
            <w:pPr>
              <w:ind w:firstLine="400" w:firstLineChars="200"/>
              <w:jc w:val="left"/>
              <w:rPr>
                <w:rFonts w:ascii="宋体" w:cs="宋体"/>
                <w:sz w:val="20"/>
              </w:rPr>
            </w:pPr>
            <w:r>
              <w:rPr>
                <w:rFonts w:hint="eastAsia"/>
                <w:sz w:val="20"/>
                <w:szCs w:val="20"/>
              </w:rPr>
              <w:t>通过水产新品种、新技术的引进、试验、推广，调整我市渔业养殖结构，使养殖户亩增效益</w:t>
            </w:r>
            <w:r>
              <w:rPr>
                <w:sz w:val="20"/>
                <w:szCs w:val="20"/>
              </w:rPr>
              <w:t>100</w:t>
            </w:r>
            <w:r>
              <w:rPr>
                <w:rFonts w:hint="eastAsia"/>
                <w:sz w:val="20"/>
                <w:szCs w:val="20"/>
              </w:rPr>
              <w:t>元以上。开展培训提升技术人员实践和理论水平，为我市水产业健康快速发展提供技术支撑和保障。通过开展鱼病预报、测报，减少鱼类疫病灾害损失，降低养殖成本，提高养殖效益。通过渔业资源养护，净化我市渔业环境，达到人与自然、人与生态的和谐统一。通过水产品质量安全送样检测，使我市水产品抽检合格率达到</w:t>
            </w:r>
            <w:r>
              <w:rPr>
                <w:sz w:val="20"/>
                <w:szCs w:val="20"/>
              </w:rPr>
              <w:t>97%</w:t>
            </w:r>
            <w:r>
              <w:rPr>
                <w:rFonts w:hint="eastAsia"/>
                <w:sz w:val="20"/>
                <w:szCs w:val="20"/>
              </w:rPr>
              <w:t>以上，确保水产品质量安全。通过渔业生产安全管理，使我市达到无重大渔业生产安全事故目标，确保渔民生命、财产安全。</w:t>
            </w:r>
          </w:p>
        </w:tc>
      </w:tr>
      <w:tr w14:paraId="27D5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vAlign w:val="center"/>
          </w:tcPr>
          <w:p w14:paraId="764A8B5B">
            <w:pPr>
              <w:widowControl/>
              <w:jc w:val="center"/>
              <w:textAlignment w:val="center"/>
              <w:rPr>
                <w:rFonts w:ascii="宋体" w:cs="宋体"/>
                <w:sz w:val="20"/>
              </w:rPr>
            </w:pPr>
            <w:r>
              <w:rPr>
                <w:rFonts w:hint="eastAsia" w:ascii="宋体" w:hAnsi="宋体" w:cs="宋体"/>
                <w:color w:val="000000"/>
                <w:kern w:val="0"/>
                <w:sz w:val="20"/>
                <w:szCs w:val="20"/>
              </w:rPr>
              <w:t>绩</w:t>
            </w:r>
            <w:r>
              <w:rPr>
                <w:rFonts w:ascii="宋体" w:cs="宋体"/>
                <w:color w:val="000000"/>
                <w:kern w:val="0"/>
                <w:sz w:val="20"/>
                <w:szCs w:val="20"/>
              </w:rPr>
              <w:br w:type="textWrapping"/>
            </w:r>
            <w:r>
              <w:rPr>
                <w:rFonts w:hint="eastAsia" w:ascii="宋体" w:hAnsi="宋体" w:cs="宋体"/>
                <w:color w:val="000000"/>
                <w:kern w:val="0"/>
                <w:sz w:val="20"/>
                <w:szCs w:val="20"/>
              </w:rPr>
              <w:t>效</w:t>
            </w:r>
            <w:r>
              <w:rPr>
                <w:rFonts w:ascii="宋体" w:cs="宋体"/>
                <w:color w:val="000000"/>
                <w:kern w:val="0"/>
                <w:sz w:val="20"/>
                <w:szCs w:val="20"/>
              </w:rPr>
              <w:br w:type="textWrapping"/>
            </w:r>
            <w:r>
              <w:rPr>
                <w:rFonts w:hint="eastAsia" w:ascii="宋体" w:hAnsi="宋体" w:cs="宋体"/>
                <w:color w:val="000000"/>
                <w:kern w:val="0"/>
                <w:sz w:val="20"/>
                <w:szCs w:val="20"/>
              </w:rPr>
              <w:t>指</w:t>
            </w:r>
            <w:r>
              <w:rPr>
                <w:rFonts w:ascii="宋体" w:cs="宋体"/>
                <w:color w:val="000000"/>
                <w:kern w:val="0"/>
                <w:sz w:val="20"/>
                <w:szCs w:val="20"/>
              </w:rPr>
              <w:br w:type="textWrapping"/>
            </w:r>
            <w:r>
              <w:rPr>
                <w:rFonts w:hint="eastAsia" w:ascii="宋体" w:hAnsi="宋体" w:cs="宋体"/>
                <w:color w:val="000000"/>
                <w:kern w:val="0"/>
                <w:sz w:val="20"/>
                <w:szCs w:val="20"/>
              </w:rPr>
              <w:t>标</w:t>
            </w:r>
          </w:p>
        </w:tc>
        <w:tc>
          <w:tcPr>
            <w:tcW w:w="723" w:type="dxa"/>
            <w:vAlign w:val="center"/>
          </w:tcPr>
          <w:p w14:paraId="0F5AA1A6">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一级</w:t>
            </w:r>
            <w:r>
              <w:rPr>
                <w:rFonts w:ascii="宋体" w:cs="宋体"/>
                <w:color w:val="000000"/>
                <w:kern w:val="0"/>
                <w:sz w:val="20"/>
                <w:szCs w:val="20"/>
              </w:rPr>
              <w:br w:type="textWrapping"/>
            </w:r>
            <w:r>
              <w:rPr>
                <w:rFonts w:hint="eastAsia" w:ascii="宋体" w:hAnsi="宋体" w:cs="宋体"/>
                <w:color w:val="000000"/>
                <w:kern w:val="0"/>
                <w:sz w:val="20"/>
                <w:szCs w:val="20"/>
              </w:rPr>
              <w:t>指标</w:t>
            </w:r>
          </w:p>
        </w:tc>
        <w:tc>
          <w:tcPr>
            <w:tcW w:w="759" w:type="dxa"/>
            <w:gridSpan w:val="2"/>
            <w:vAlign w:val="center"/>
          </w:tcPr>
          <w:p w14:paraId="3CEE184F">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3232" w:type="dxa"/>
            <w:vAlign w:val="center"/>
          </w:tcPr>
          <w:p w14:paraId="0FFC0943">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3868" w:type="dxa"/>
            <w:gridSpan w:val="2"/>
            <w:vAlign w:val="center"/>
          </w:tcPr>
          <w:p w14:paraId="277EE8A8">
            <w:pPr>
              <w:widowControl/>
              <w:jc w:val="center"/>
              <w:textAlignment w:val="center"/>
              <w:rPr>
                <w:rFonts w:ascii="宋体" w:cs="宋体"/>
                <w:sz w:val="20"/>
              </w:rPr>
            </w:pPr>
            <w:r>
              <w:rPr>
                <w:rFonts w:hint="eastAsia" w:ascii="宋体" w:hAnsi="宋体" w:cs="宋体"/>
                <w:color w:val="000000"/>
                <w:kern w:val="0"/>
                <w:sz w:val="20"/>
                <w:szCs w:val="20"/>
              </w:rPr>
              <w:t>指标值</w:t>
            </w:r>
          </w:p>
        </w:tc>
      </w:tr>
      <w:tr w14:paraId="63BA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38" w:type="dxa"/>
            <w:vMerge w:val="continue"/>
            <w:vAlign w:val="center"/>
          </w:tcPr>
          <w:p w14:paraId="04F71D25">
            <w:pPr>
              <w:jc w:val="center"/>
              <w:rPr>
                <w:rFonts w:ascii="宋体" w:cs="宋体"/>
                <w:sz w:val="20"/>
              </w:rPr>
            </w:pPr>
          </w:p>
        </w:tc>
        <w:tc>
          <w:tcPr>
            <w:tcW w:w="723" w:type="dxa"/>
            <w:vMerge w:val="restart"/>
            <w:vAlign w:val="center"/>
          </w:tcPr>
          <w:p w14:paraId="3FEF46F6">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vAlign w:val="center"/>
          </w:tcPr>
          <w:p w14:paraId="080CF05E">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3232" w:type="dxa"/>
            <w:vAlign w:val="center"/>
          </w:tcPr>
          <w:p w14:paraId="371B343B">
            <w:pPr>
              <w:widowControl/>
              <w:jc w:val="left"/>
              <w:textAlignment w:val="center"/>
              <w:rPr>
                <w:rFonts w:ascii="宋体" w:cs="宋体"/>
                <w:sz w:val="20"/>
              </w:rPr>
            </w:pPr>
            <w:r>
              <w:rPr>
                <w:rFonts w:hint="eastAsia" w:ascii="宋体" w:hAnsi="宋体" w:cs="宋体"/>
                <w:color w:val="000000"/>
                <w:kern w:val="0"/>
                <w:sz w:val="20"/>
                <w:szCs w:val="20"/>
              </w:rPr>
              <w:t xml:space="preserve">推广新品种或新技术模式；完成本年度鱼病系统预报、测报任务；完成本年度省下达我市水产苗种增殖放流任务；完成我市本年度水产品省级例行风险监测抽样送检和增殖放流苗种抽样送检任务. </w:t>
            </w:r>
          </w:p>
        </w:tc>
        <w:tc>
          <w:tcPr>
            <w:tcW w:w="3868" w:type="dxa"/>
            <w:gridSpan w:val="2"/>
            <w:vAlign w:val="center"/>
          </w:tcPr>
          <w:p w14:paraId="41A1DBF6">
            <w:pPr>
              <w:jc w:val="center"/>
              <w:rPr>
                <w:rFonts w:ascii="宋体" w:cs="宋体"/>
                <w:sz w:val="20"/>
              </w:rPr>
            </w:pPr>
            <w:r>
              <w:rPr>
                <w:rFonts w:hint="eastAsia"/>
                <w:sz w:val="20"/>
                <w:szCs w:val="20"/>
              </w:rPr>
              <w:t>推广新品种或新技术模式2个以上；鱼病系统测报、预报10次；开展1次增殖放流活动；开展水产品例行风险监测3批次。</w:t>
            </w:r>
          </w:p>
        </w:tc>
      </w:tr>
      <w:tr w14:paraId="038B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38" w:type="dxa"/>
            <w:vMerge w:val="continue"/>
            <w:vAlign w:val="center"/>
          </w:tcPr>
          <w:p w14:paraId="2EDB25A6">
            <w:pPr>
              <w:jc w:val="center"/>
              <w:rPr>
                <w:rFonts w:ascii="宋体" w:cs="宋体"/>
                <w:sz w:val="20"/>
              </w:rPr>
            </w:pPr>
          </w:p>
        </w:tc>
        <w:tc>
          <w:tcPr>
            <w:tcW w:w="723" w:type="dxa"/>
            <w:vMerge w:val="continue"/>
            <w:vAlign w:val="center"/>
          </w:tcPr>
          <w:p w14:paraId="505198B6">
            <w:pPr>
              <w:jc w:val="center"/>
              <w:rPr>
                <w:rFonts w:ascii="宋体" w:cs="宋体"/>
                <w:sz w:val="20"/>
              </w:rPr>
            </w:pPr>
          </w:p>
        </w:tc>
        <w:tc>
          <w:tcPr>
            <w:tcW w:w="759" w:type="dxa"/>
            <w:gridSpan w:val="2"/>
            <w:vAlign w:val="center"/>
          </w:tcPr>
          <w:p w14:paraId="2CDB8966">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3232" w:type="dxa"/>
            <w:vAlign w:val="center"/>
          </w:tcPr>
          <w:p w14:paraId="7CD9D57C">
            <w:pPr>
              <w:keepNext w:val="0"/>
              <w:keepLines w:val="0"/>
              <w:widowControl/>
              <w:suppressLineNumbers w:val="0"/>
              <w:jc w:val="center"/>
              <w:textAlignment w:val="center"/>
              <w:rPr>
                <w:rFonts w:hint="eastAsia" w:ascii="宋体" w:hAnsi="宋体" w:eastAsia="宋体" w:cs="宋体"/>
                <w:i w:val="0"/>
                <w:iCs w:val="0"/>
                <w:color w:val="333333"/>
                <w:kern w:val="2"/>
                <w:sz w:val="20"/>
                <w:szCs w:val="20"/>
                <w:u w:val="none"/>
                <w:lang w:val="en-US" w:eastAsia="zh-CN" w:bidi="ar-SA"/>
              </w:rPr>
            </w:pPr>
            <w:r>
              <w:rPr>
                <w:rFonts w:hint="eastAsia" w:ascii="宋体" w:hAnsi="宋体" w:eastAsia="宋体" w:cs="宋体"/>
                <w:i w:val="0"/>
                <w:iCs w:val="0"/>
                <w:color w:val="333333"/>
                <w:kern w:val="0"/>
                <w:sz w:val="20"/>
                <w:szCs w:val="20"/>
                <w:u w:val="none"/>
                <w:lang w:val="en-US" w:eastAsia="zh-CN" w:bidi="ar"/>
              </w:rPr>
              <w:t>优良</w:t>
            </w:r>
          </w:p>
        </w:tc>
        <w:tc>
          <w:tcPr>
            <w:tcW w:w="3868" w:type="dxa"/>
            <w:gridSpan w:val="2"/>
            <w:vAlign w:val="center"/>
          </w:tcPr>
          <w:p w14:paraId="69D393E7">
            <w:pPr>
              <w:jc w:val="center"/>
              <w:rPr>
                <w:rFonts w:ascii="宋体" w:cs="宋体"/>
                <w:sz w:val="20"/>
                <w:szCs w:val="20"/>
              </w:rPr>
            </w:pPr>
            <w:r>
              <w:rPr>
                <w:rFonts w:hint="eastAsia"/>
                <w:sz w:val="20"/>
                <w:szCs w:val="20"/>
              </w:rPr>
              <w:t>优良</w:t>
            </w:r>
          </w:p>
        </w:tc>
      </w:tr>
      <w:tr w14:paraId="3029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38" w:type="dxa"/>
            <w:vMerge w:val="continue"/>
            <w:vAlign w:val="center"/>
          </w:tcPr>
          <w:p w14:paraId="1236B5C4">
            <w:pPr>
              <w:jc w:val="center"/>
              <w:rPr>
                <w:rFonts w:ascii="宋体" w:cs="宋体"/>
                <w:sz w:val="20"/>
              </w:rPr>
            </w:pPr>
          </w:p>
        </w:tc>
        <w:tc>
          <w:tcPr>
            <w:tcW w:w="723" w:type="dxa"/>
            <w:vMerge w:val="continue"/>
            <w:vAlign w:val="center"/>
          </w:tcPr>
          <w:p w14:paraId="1219ADEB">
            <w:pPr>
              <w:jc w:val="center"/>
              <w:rPr>
                <w:rFonts w:ascii="宋体" w:cs="宋体"/>
                <w:sz w:val="20"/>
              </w:rPr>
            </w:pPr>
          </w:p>
        </w:tc>
        <w:tc>
          <w:tcPr>
            <w:tcW w:w="759" w:type="dxa"/>
            <w:gridSpan w:val="2"/>
            <w:vAlign w:val="center"/>
          </w:tcPr>
          <w:p w14:paraId="056904FA">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3232" w:type="dxa"/>
            <w:vAlign w:val="center"/>
          </w:tcPr>
          <w:p w14:paraId="68BC6A67">
            <w:pPr>
              <w:jc w:val="center"/>
              <w:textAlignment w:val="center"/>
              <w:rPr>
                <w:rFonts w:ascii="宋体" w:cs="宋体"/>
                <w:sz w:val="20"/>
              </w:rPr>
            </w:pPr>
            <w:r>
              <w:rPr>
                <w:rFonts w:hint="eastAsia"/>
                <w:sz w:val="20"/>
                <w:szCs w:val="20"/>
              </w:rPr>
              <w:t>年度内完成</w:t>
            </w:r>
          </w:p>
        </w:tc>
        <w:tc>
          <w:tcPr>
            <w:tcW w:w="3868" w:type="dxa"/>
            <w:gridSpan w:val="2"/>
            <w:vAlign w:val="center"/>
          </w:tcPr>
          <w:p w14:paraId="0522280D">
            <w:pPr>
              <w:jc w:val="center"/>
              <w:rPr>
                <w:rFonts w:ascii="宋体" w:cs="宋体"/>
                <w:sz w:val="20"/>
                <w:szCs w:val="20"/>
              </w:rPr>
            </w:pPr>
            <w:r>
              <w:rPr>
                <w:rFonts w:hint="eastAsia"/>
                <w:sz w:val="20"/>
                <w:szCs w:val="20"/>
              </w:rPr>
              <w:t>年度内完成</w:t>
            </w:r>
          </w:p>
        </w:tc>
      </w:tr>
      <w:tr w14:paraId="0631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38" w:type="dxa"/>
            <w:vMerge w:val="continue"/>
            <w:vAlign w:val="center"/>
          </w:tcPr>
          <w:p w14:paraId="3B03AD03">
            <w:pPr>
              <w:jc w:val="center"/>
              <w:rPr>
                <w:rFonts w:ascii="宋体" w:cs="宋体"/>
                <w:sz w:val="20"/>
              </w:rPr>
            </w:pPr>
          </w:p>
        </w:tc>
        <w:tc>
          <w:tcPr>
            <w:tcW w:w="723" w:type="dxa"/>
            <w:vMerge w:val="continue"/>
            <w:vAlign w:val="center"/>
          </w:tcPr>
          <w:p w14:paraId="3367488E">
            <w:pPr>
              <w:jc w:val="center"/>
              <w:rPr>
                <w:rFonts w:ascii="宋体" w:cs="宋体"/>
                <w:sz w:val="20"/>
              </w:rPr>
            </w:pPr>
          </w:p>
        </w:tc>
        <w:tc>
          <w:tcPr>
            <w:tcW w:w="759" w:type="dxa"/>
            <w:gridSpan w:val="2"/>
            <w:vAlign w:val="center"/>
          </w:tcPr>
          <w:p w14:paraId="46BF1D19">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p w14:paraId="53196897">
            <w:pPr>
              <w:textAlignment w:val="center"/>
              <w:rPr>
                <w:rFonts w:ascii="宋体" w:cs="宋体"/>
                <w:sz w:val="20"/>
              </w:rPr>
            </w:pPr>
          </w:p>
        </w:tc>
        <w:tc>
          <w:tcPr>
            <w:tcW w:w="3232" w:type="dxa"/>
            <w:vAlign w:val="center"/>
          </w:tcPr>
          <w:p w14:paraId="7EB202B4">
            <w:pPr>
              <w:jc w:val="center"/>
              <w:textAlignment w:val="center"/>
              <w:rPr>
                <w:rFonts w:ascii="宋体" w:cs="宋体"/>
                <w:sz w:val="20"/>
              </w:rPr>
            </w:pPr>
            <w:r>
              <w:rPr>
                <w:rFonts w:hint="eastAsia" w:ascii="宋体" w:hAnsi="宋体" w:cs="宋体"/>
                <w:color w:val="000000"/>
                <w:kern w:val="0"/>
                <w:sz w:val="20"/>
                <w:szCs w:val="20"/>
              </w:rPr>
              <w:t>经费支出</w:t>
            </w:r>
          </w:p>
        </w:tc>
        <w:tc>
          <w:tcPr>
            <w:tcW w:w="3868" w:type="dxa"/>
            <w:gridSpan w:val="2"/>
            <w:vAlign w:val="center"/>
          </w:tcPr>
          <w:p w14:paraId="193ED4AC">
            <w:pPr>
              <w:jc w:val="center"/>
              <w:rPr>
                <w:rFonts w:hint="default" w:ascii="宋体" w:cs="宋体" w:eastAsiaTheme="minorEastAsia"/>
                <w:sz w:val="20"/>
                <w:lang w:val="en-US" w:eastAsia="zh-CN"/>
              </w:rPr>
            </w:pPr>
            <w:r>
              <w:rPr>
                <w:rFonts w:hint="eastAsia" w:ascii="宋体" w:cs="宋体"/>
                <w:sz w:val="20"/>
                <w:lang w:val="en-US" w:eastAsia="zh-CN"/>
              </w:rPr>
              <w:t>不超过5万元</w:t>
            </w:r>
          </w:p>
        </w:tc>
      </w:tr>
      <w:tr w14:paraId="6291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38" w:type="dxa"/>
            <w:vMerge w:val="continue"/>
            <w:vAlign w:val="center"/>
          </w:tcPr>
          <w:p w14:paraId="03BAE6C4">
            <w:pPr>
              <w:jc w:val="center"/>
              <w:rPr>
                <w:rFonts w:ascii="宋体" w:cs="宋体"/>
                <w:sz w:val="20"/>
              </w:rPr>
            </w:pPr>
          </w:p>
        </w:tc>
        <w:tc>
          <w:tcPr>
            <w:tcW w:w="723" w:type="dxa"/>
            <w:vMerge w:val="restart"/>
            <w:vAlign w:val="center"/>
          </w:tcPr>
          <w:p w14:paraId="738B72F4">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vAlign w:val="center"/>
          </w:tcPr>
          <w:p w14:paraId="0D7B9D6E">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3232" w:type="dxa"/>
            <w:vAlign w:val="center"/>
          </w:tcPr>
          <w:p w14:paraId="6E11810B">
            <w:pPr>
              <w:jc w:val="center"/>
              <w:textAlignment w:val="center"/>
              <w:rPr>
                <w:rFonts w:ascii="宋体" w:cs="宋体"/>
                <w:sz w:val="20"/>
              </w:rPr>
            </w:pPr>
            <w:r>
              <w:rPr>
                <w:rFonts w:hint="eastAsia" w:ascii="宋体" w:hAnsi="宋体" w:cs="宋体"/>
                <w:color w:val="000000"/>
                <w:kern w:val="0"/>
                <w:sz w:val="20"/>
                <w:szCs w:val="20"/>
              </w:rPr>
              <w:t>促进渔业生产节本增效</w:t>
            </w:r>
          </w:p>
        </w:tc>
        <w:tc>
          <w:tcPr>
            <w:tcW w:w="3868" w:type="dxa"/>
            <w:gridSpan w:val="2"/>
            <w:vAlign w:val="center"/>
          </w:tcPr>
          <w:p w14:paraId="140F7753">
            <w:pPr>
              <w:jc w:val="center"/>
              <w:rPr>
                <w:rFonts w:ascii="宋体" w:cs="宋体"/>
                <w:sz w:val="20"/>
                <w:szCs w:val="20"/>
              </w:rPr>
            </w:pPr>
            <w:r>
              <w:rPr>
                <w:rFonts w:hint="eastAsia"/>
                <w:sz w:val="20"/>
                <w:szCs w:val="20"/>
              </w:rPr>
              <w:t>亩增效益30元以上</w:t>
            </w:r>
          </w:p>
        </w:tc>
      </w:tr>
      <w:tr w14:paraId="62DE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38" w:type="dxa"/>
            <w:vMerge w:val="continue"/>
            <w:vAlign w:val="center"/>
          </w:tcPr>
          <w:p w14:paraId="611E39C8">
            <w:pPr>
              <w:jc w:val="center"/>
              <w:rPr>
                <w:rFonts w:ascii="宋体" w:cs="宋体"/>
                <w:sz w:val="20"/>
              </w:rPr>
            </w:pPr>
          </w:p>
        </w:tc>
        <w:tc>
          <w:tcPr>
            <w:tcW w:w="723" w:type="dxa"/>
            <w:vMerge w:val="continue"/>
            <w:vAlign w:val="center"/>
          </w:tcPr>
          <w:p w14:paraId="5A69AD16">
            <w:pPr>
              <w:jc w:val="center"/>
              <w:rPr>
                <w:rFonts w:ascii="宋体" w:cs="宋体"/>
                <w:sz w:val="20"/>
              </w:rPr>
            </w:pPr>
          </w:p>
        </w:tc>
        <w:tc>
          <w:tcPr>
            <w:tcW w:w="759" w:type="dxa"/>
            <w:gridSpan w:val="2"/>
            <w:vAlign w:val="center"/>
          </w:tcPr>
          <w:p w14:paraId="6203C638">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3232" w:type="dxa"/>
            <w:vAlign w:val="center"/>
          </w:tcPr>
          <w:p w14:paraId="7EF0183D">
            <w:pPr>
              <w:jc w:val="left"/>
              <w:textAlignment w:val="center"/>
              <w:rPr>
                <w:rFonts w:ascii="宋体" w:cs="宋体"/>
                <w:sz w:val="20"/>
              </w:rPr>
            </w:pPr>
            <w:r>
              <w:rPr>
                <w:rFonts w:hint="eastAsia" w:ascii="宋体" w:hAnsi="宋体" w:cs="宋体"/>
                <w:color w:val="000000"/>
                <w:kern w:val="0"/>
                <w:sz w:val="20"/>
                <w:szCs w:val="20"/>
              </w:rPr>
              <w:t>保障我市水产品有效供给，保障水产品质量安全、渔业生产安全。</w:t>
            </w:r>
          </w:p>
        </w:tc>
        <w:tc>
          <w:tcPr>
            <w:tcW w:w="3868" w:type="dxa"/>
            <w:gridSpan w:val="2"/>
            <w:vAlign w:val="center"/>
          </w:tcPr>
          <w:p w14:paraId="19F49A08">
            <w:pPr>
              <w:rPr>
                <w:rFonts w:ascii="宋体" w:cs="宋体"/>
                <w:sz w:val="20"/>
                <w:szCs w:val="20"/>
              </w:rPr>
            </w:pPr>
            <w:r>
              <w:rPr>
                <w:rFonts w:hint="eastAsia"/>
                <w:sz w:val="20"/>
                <w:szCs w:val="20"/>
              </w:rPr>
              <w:t>水产品药残抽检合格率97%以上，全年无重大水产品质量安全和渔业生产安全事故</w:t>
            </w:r>
          </w:p>
        </w:tc>
      </w:tr>
      <w:tr w14:paraId="4C16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38" w:type="dxa"/>
            <w:vMerge w:val="continue"/>
            <w:vAlign w:val="center"/>
          </w:tcPr>
          <w:p w14:paraId="3398A78E">
            <w:pPr>
              <w:jc w:val="center"/>
              <w:rPr>
                <w:rFonts w:ascii="宋体" w:cs="宋体"/>
                <w:sz w:val="20"/>
              </w:rPr>
            </w:pPr>
          </w:p>
        </w:tc>
        <w:tc>
          <w:tcPr>
            <w:tcW w:w="723" w:type="dxa"/>
            <w:vMerge w:val="continue"/>
            <w:vAlign w:val="center"/>
          </w:tcPr>
          <w:p w14:paraId="329D1FCA">
            <w:pPr>
              <w:jc w:val="center"/>
              <w:rPr>
                <w:rFonts w:ascii="宋体" w:cs="宋体"/>
                <w:sz w:val="20"/>
              </w:rPr>
            </w:pPr>
          </w:p>
        </w:tc>
        <w:tc>
          <w:tcPr>
            <w:tcW w:w="759" w:type="dxa"/>
            <w:gridSpan w:val="2"/>
            <w:vAlign w:val="center"/>
          </w:tcPr>
          <w:p w14:paraId="0B668942">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3232" w:type="dxa"/>
            <w:vAlign w:val="center"/>
          </w:tcPr>
          <w:p w14:paraId="1DAC31B4">
            <w:pPr>
              <w:jc w:val="left"/>
              <w:textAlignment w:val="center"/>
              <w:rPr>
                <w:rFonts w:ascii="宋体" w:cs="宋体"/>
                <w:sz w:val="20"/>
              </w:rPr>
            </w:pPr>
            <w:r>
              <w:rPr>
                <w:rFonts w:hint="eastAsia" w:ascii="宋体" w:hAnsi="宋体" w:cs="宋体"/>
                <w:color w:val="000000"/>
                <w:kern w:val="0"/>
                <w:sz w:val="20"/>
                <w:szCs w:val="20"/>
              </w:rPr>
              <w:t>净化水质，增加公共水域渔业资源</w:t>
            </w:r>
          </w:p>
        </w:tc>
        <w:tc>
          <w:tcPr>
            <w:tcW w:w="3868" w:type="dxa"/>
            <w:gridSpan w:val="2"/>
            <w:vAlign w:val="center"/>
          </w:tcPr>
          <w:p w14:paraId="0AC77092">
            <w:pPr>
              <w:rPr>
                <w:rFonts w:ascii="宋体" w:cs="宋体"/>
                <w:sz w:val="20"/>
                <w:szCs w:val="20"/>
              </w:rPr>
            </w:pPr>
            <w:r>
              <w:rPr>
                <w:rFonts w:hint="eastAsia"/>
                <w:sz w:val="20"/>
                <w:szCs w:val="20"/>
              </w:rPr>
              <w:t>　促进放流水域水质环境改善，增加公共水域渔业资</w:t>
            </w:r>
          </w:p>
        </w:tc>
      </w:tr>
      <w:tr w14:paraId="02A0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38" w:type="dxa"/>
            <w:vMerge w:val="continue"/>
            <w:vAlign w:val="center"/>
          </w:tcPr>
          <w:p w14:paraId="79552136">
            <w:pPr>
              <w:jc w:val="center"/>
              <w:rPr>
                <w:rFonts w:ascii="宋体" w:cs="宋体"/>
                <w:sz w:val="20"/>
              </w:rPr>
            </w:pPr>
          </w:p>
        </w:tc>
        <w:tc>
          <w:tcPr>
            <w:tcW w:w="723" w:type="dxa"/>
            <w:vMerge w:val="continue"/>
            <w:vAlign w:val="center"/>
          </w:tcPr>
          <w:p w14:paraId="17A71645">
            <w:pPr>
              <w:jc w:val="center"/>
              <w:rPr>
                <w:rFonts w:ascii="宋体" w:cs="宋体"/>
                <w:sz w:val="20"/>
              </w:rPr>
            </w:pPr>
          </w:p>
        </w:tc>
        <w:tc>
          <w:tcPr>
            <w:tcW w:w="759" w:type="dxa"/>
            <w:gridSpan w:val="2"/>
            <w:vAlign w:val="center"/>
          </w:tcPr>
          <w:p w14:paraId="25647758">
            <w:pPr>
              <w:widowControl/>
              <w:spacing w:line="200" w:lineRule="exact"/>
              <w:jc w:val="center"/>
              <w:rPr>
                <w:rFonts w:ascii="宋体" w:cs="宋体"/>
                <w:sz w:val="20"/>
              </w:rPr>
            </w:pPr>
            <w:r>
              <w:rPr>
                <w:rFonts w:hint="eastAsia" w:ascii="宋体" w:hAnsi="宋体" w:cs="宋体"/>
                <w:sz w:val="20"/>
              </w:rPr>
              <w:t>可持续影响指标</w:t>
            </w:r>
          </w:p>
          <w:p w14:paraId="3B35758E">
            <w:pPr>
              <w:jc w:val="center"/>
              <w:rPr>
                <w:rFonts w:ascii="宋体" w:cs="宋体"/>
                <w:sz w:val="20"/>
              </w:rPr>
            </w:pPr>
          </w:p>
        </w:tc>
        <w:tc>
          <w:tcPr>
            <w:tcW w:w="3232" w:type="dxa"/>
            <w:vAlign w:val="center"/>
          </w:tcPr>
          <w:p w14:paraId="63E63878">
            <w:pPr>
              <w:jc w:val="left"/>
              <w:textAlignment w:val="center"/>
              <w:rPr>
                <w:rFonts w:ascii="宋体" w:cs="宋体"/>
                <w:sz w:val="20"/>
              </w:rPr>
            </w:pPr>
            <w:r>
              <w:rPr>
                <w:rFonts w:hint="eastAsia" w:ascii="宋体" w:hAnsi="宋体" w:cs="宋体"/>
                <w:color w:val="000000"/>
                <w:kern w:val="0"/>
                <w:sz w:val="20"/>
                <w:szCs w:val="20"/>
              </w:rPr>
              <w:t>维护我市渔业工作正常运转, 确保我市渔业工作安全、有序、健康发展。</w:t>
            </w:r>
          </w:p>
        </w:tc>
        <w:tc>
          <w:tcPr>
            <w:tcW w:w="3868" w:type="dxa"/>
            <w:gridSpan w:val="2"/>
            <w:vAlign w:val="center"/>
          </w:tcPr>
          <w:p w14:paraId="5B788CB4">
            <w:pPr>
              <w:jc w:val="center"/>
              <w:rPr>
                <w:rFonts w:ascii="宋体" w:cs="宋体"/>
                <w:sz w:val="20"/>
                <w:szCs w:val="20"/>
              </w:rPr>
            </w:pPr>
            <w:r>
              <w:rPr>
                <w:rFonts w:hint="eastAsia"/>
                <w:sz w:val="20"/>
                <w:szCs w:val="20"/>
              </w:rPr>
              <w:t>水产品产量增幅1.5%以上。</w:t>
            </w:r>
          </w:p>
        </w:tc>
      </w:tr>
      <w:tr w14:paraId="2789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38" w:type="dxa"/>
            <w:vMerge w:val="continue"/>
            <w:vAlign w:val="center"/>
          </w:tcPr>
          <w:p w14:paraId="3555F628">
            <w:pPr>
              <w:jc w:val="center"/>
              <w:rPr>
                <w:rFonts w:ascii="宋体" w:cs="宋体"/>
                <w:sz w:val="20"/>
              </w:rPr>
            </w:pPr>
          </w:p>
        </w:tc>
        <w:tc>
          <w:tcPr>
            <w:tcW w:w="723" w:type="dxa"/>
            <w:vAlign w:val="center"/>
          </w:tcPr>
          <w:p w14:paraId="688AD3C9">
            <w:pPr>
              <w:widowControl/>
              <w:spacing w:line="200" w:lineRule="exact"/>
              <w:jc w:val="center"/>
              <w:rPr>
                <w:rFonts w:ascii="宋体" w:cs="宋体"/>
                <w:sz w:val="20"/>
              </w:rPr>
            </w:pPr>
            <w:r>
              <w:rPr>
                <w:rFonts w:hint="eastAsia" w:ascii="宋体" w:hAnsi="宋体" w:cs="宋体"/>
                <w:sz w:val="20"/>
              </w:rPr>
              <w:t>满意度指标</w:t>
            </w:r>
          </w:p>
        </w:tc>
        <w:tc>
          <w:tcPr>
            <w:tcW w:w="759" w:type="dxa"/>
            <w:gridSpan w:val="2"/>
            <w:vAlign w:val="center"/>
          </w:tcPr>
          <w:p w14:paraId="7E39FCC5">
            <w:pPr>
              <w:widowControl/>
              <w:spacing w:line="200" w:lineRule="exact"/>
              <w:jc w:val="center"/>
              <w:rPr>
                <w:rFonts w:ascii="宋体" w:cs="宋体"/>
                <w:sz w:val="20"/>
              </w:rPr>
            </w:pPr>
            <w:r>
              <w:rPr>
                <w:rFonts w:hint="eastAsia" w:ascii="宋体" w:hAnsi="宋体" w:cs="宋体"/>
                <w:sz w:val="20"/>
              </w:rPr>
              <w:t>满意度指标</w:t>
            </w:r>
          </w:p>
        </w:tc>
        <w:tc>
          <w:tcPr>
            <w:tcW w:w="3232" w:type="dxa"/>
            <w:vAlign w:val="center"/>
          </w:tcPr>
          <w:p w14:paraId="075AD541">
            <w:pPr>
              <w:jc w:val="center"/>
              <w:textAlignment w:val="center"/>
              <w:rPr>
                <w:rFonts w:ascii="宋体" w:cs="宋体"/>
                <w:sz w:val="20"/>
              </w:rPr>
            </w:pPr>
            <w:r>
              <w:rPr>
                <w:rFonts w:hint="eastAsia" w:ascii="宋体" w:hAnsi="宋体" w:cs="宋体"/>
                <w:color w:val="000000"/>
                <w:kern w:val="0"/>
                <w:sz w:val="20"/>
                <w:szCs w:val="20"/>
              </w:rPr>
              <w:t>农民满意度</w:t>
            </w:r>
          </w:p>
        </w:tc>
        <w:tc>
          <w:tcPr>
            <w:tcW w:w="3868" w:type="dxa"/>
            <w:gridSpan w:val="2"/>
            <w:vAlign w:val="center"/>
          </w:tcPr>
          <w:p w14:paraId="02F7964E">
            <w:pPr>
              <w:jc w:val="center"/>
              <w:rPr>
                <w:rFonts w:ascii="宋体" w:cs="宋体"/>
                <w:sz w:val="20"/>
              </w:rPr>
            </w:pPr>
            <w:r>
              <w:rPr>
                <w:rFonts w:hint="eastAsia"/>
                <w:sz w:val="20"/>
                <w:szCs w:val="20"/>
              </w:rPr>
              <w:t>≥95%</w:t>
            </w:r>
          </w:p>
        </w:tc>
      </w:tr>
    </w:tbl>
    <w:p w14:paraId="7809A397">
      <w:pPr>
        <w:ind w:firstLine="420" w:firstLineChars="200"/>
      </w:pPr>
    </w:p>
    <w:p w14:paraId="37CA210A">
      <w:pPr>
        <w:ind w:firstLine="420" w:firstLineChars="200"/>
        <w:rPr>
          <w:rFonts w:hint="eastAsia" w:eastAsiaTheme="minorEastAsia"/>
          <w:lang w:eastAsia="zh-CN"/>
        </w:rPr>
      </w:pPr>
    </w:p>
    <w:p w14:paraId="48DD44B7">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27360FE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淮北市水产技术中心202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年机关运行经费财政拨款预算7.2万元，比202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年预算持平。</w:t>
      </w:r>
    </w:p>
    <w:p w14:paraId="269521D8">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13ED6E7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淮北市水产技术中心202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年政府采购预算0万元。其中：政府采购货物预算0万元，政府采购工程预算0万元，政府采购服务预算0万元。</w:t>
      </w:r>
    </w:p>
    <w:p w14:paraId="16661D61">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2846608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12月31日，淮北市水产技术中心共有车辆0辆，其中：主要领导干部用车0辆、机要通信用车0辆、应急保障用车0辆、执法执勤用车0辆、特种专业技术用车0辆、离退休干部用车0辆、其他用车0辆（只列报车辆不为0的车型）。单价50万元以上的通用设备0台（套），单价100万元以上的专用设备0台（套）。</w:t>
      </w:r>
    </w:p>
    <w:p w14:paraId="0E35DCF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部门（单位）预算安排购置公务用车0辆，购置费0万元，其中：主要领导干部用车0辆、机要通信用车0辆、应急保障用车0辆、执法执勤用车0辆、特种专业技术用车0辆、离退休干部用车0辆、其他用车0辆（只列报车辆不为0的车型）；安排购置单价50万元以上的通用设备0台（套），购置费0万元；安排购置单价100万元以上专用设备0台（套），购置费0万元。</w:t>
      </w:r>
    </w:p>
    <w:p w14:paraId="071DC4F3">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10A36C7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2024年，淮北市水产技术中心</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万元。</w:t>
      </w:r>
    </w:p>
    <w:p w14:paraId="6A9B76AA">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4A4AE42B"/>
    <w:p w14:paraId="0AF7E9BE">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37697F6B">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2807E23B">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204F9320">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2789CE80">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413DFB2E">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4207D0FB">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18CAEB14">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0622B170">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4783A894">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0902D05"/>
    <w:p w14:paraId="7842B8D6"/>
    <w:p w14:paraId="6968E892"/>
    <w:p w14:paraId="24FBA503"/>
    <w:p w14:paraId="5D2DAFE7"/>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Arial Unicode MS"/>
    <w:panose1 w:val="00000000000000000000"/>
    <w:charset w:val="00"/>
    <w:family w:val="auto"/>
    <w:pitch w:val="default"/>
    <w:sig w:usb0="00000000" w:usb1="00000000" w:usb2="00000029" w:usb3="00000000" w:csb0="600001FF" w:csb1="FFFF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3682D"/>
    <w:multiLevelType w:val="singleLevel"/>
    <w:tmpl w:val="8C63682D"/>
    <w:lvl w:ilvl="0" w:tentative="0">
      <w:start w:val="1"/>
      <w:numFmt w:val="chineseCounting"/>
      <w:suff w:val="nothing"/>
      <w:lvlText w:val="（%1）"/>
      <w:lvlJc w:val="left"/>
      <w:rPr>
        <w:rFonts w:hint="eastAsia"/>
      </w:rPr>
    </w:lvl>
  </w:abstractNum>
  <w:abstractNum w:abstractNumId="1">
    <w:nsid w:val="D4FE77CC"/>
    <w:multiLevelType w:val="singleLevel"/>
    <w:tmpl w:val="D4FE77CC"/>
    <w:lvl w:ilvl="0" w:tentative="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NlZTg3NTlhNjBkZjYwM2U4NWIzMTRlMDlmYjQxMDcifQ=="/>
  </w:docVars>
  <w:rsids>
    <w:rsidRoot w:val="00E907C4"/>
    <w:rsid w:val="000E28EE"/>
    <w:rsid w:val="00226402"/>
    <w:rsid w:val="00267E33"/>
    <w:rsid w:val="004A4DC6"/>
    <w:rsid w:val="0057562B"/>
    <w:rsid w:val="006546AF"/>
    <w:rsid w:val="00726D96"/>
    <w:rsid w:val="008F6D1A"/>
    <w:rsid w:val="009A3CA3"/>
    <w:rsid w:val="00AE3242"/>
    <w:rsid w:val="00BD640A"/>
    <w:rsid w:val="00DB2A5C"/>
    <w:rsid w:val="00E907C4"/>
    <w:rsid w:val="00EC7755"/>
    <w:rsid w:val="00F974AD"/>
    <w:rsid w:val="03863E70"/>
    <w:rsid w:val="084244BC"/>
    <w:rsid w:val="08CA1CB0"/>
    <w:rsid w:val="0A2A2E83"/>
    <w:rsid w:val="0CE02843"/>
    <w:rsid w:val="0ECC5D9E"/>
    <w:rsid w:val="13345660"/>
    <w:rsid w:val="1537146E"/>
    <w:rsid w:val="15862FBF"/>
    <w:rsid w:val="18190959"/>
    <w:rsid w:val="1A2B55E2"/>
    <w:rsid w:val="1A82318C"/>
    <w:rsid w:val="1B7614CC"/>
    <w:rsid w:val="1BAB7C4D"/>
    <w:rsid w:val="1C8409D2"/>
    <w:rsid w:val="1C962F1E"/>
    <w:rsid w:val="1D805CCD"/>
    <w:rsid w:val="1E32516E"/>
    <w:rsid w:val="20ED053C"/>
    <w:rsid w:val="21E875BA"/>
    <w:rsid w:val="23D04F68"/>
    <w:rsid w:val="2560231B"/>
    <w:rsid w:val="27473793"/>
    <w:rsid w:val="28E31BDE"/>
    <w:rsid w:val="2AA4021A"/>
    <w:rsid w:val="2B541789"/>
    <w:rsid w:val="2B942D1F"/>
    <w:rsid w:val="367F3059"/>
    <w:rsid w:val="37313B18"/>
    <w:rsid w:val="39943F4C"/>
    <w:rsid w:val="3A025681"/>
    <w:rsid w:val="3A922B1F"/>
    <w:rsid w:val="3DD551FD"/>
    <w:rsid w:val="3E245523"/>
    <w:rsid w:val="466C02F7"/>
    <w:rsid w:val="46C2745E"/>
    <w:rsid w:val="49664778"/>
    <w:rsid w:val="4A0550BC"/>
    <w:rsid w:val="4C936C39"/>
    <w:rsid w:val="4D534390"/>
    <w:rsid w:val="4E466DB7"/>
    <w:rsid w:val="527F46B5"/>
    <w:rsid w:val="52CC7690"/>
    <w:rsid w:val="564E60B0"/>
    <w:rsid w:val="58242BB1"/>
    <w:rsid w:val="58B618AC"/>
    <w:rsid w:val="59936E93"/>
    <w:rsid w:val="5A6529C3"/>
    <w:rsid w:val="5F720B28"/>
    <w:rsid w:val="617D786E"/>
    <w:rsid w:val="62092E18"/>
    <w:rsid w:val="62E82171"/>
    <w:rsid w:val="63D00091"/>
    <w:rsid w:val="670A7696"/>
    <w:rsid w:val="6A557C53"/>
    <w:rsid w:val="6BC404DB"/>
    <w:rsid w:val="6BD21532"/>
    <w:rsid w:val="6D9B34BE"/>
    <w:rsid w:val="6DF97AF4"/>
    <w:rsid w:val="78D5457B"/>
    <w:rsid w:val="7AB43035"/>
    <w:rsid w:val="7C011B17"/>
    <w:rsid w:val="7DBB271B"/>
    <w:rsid w:val="7F5F6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6650</Words>
  <Characters>7245</Characters>
  <Lines>46</Lines>
  <Paragraphs>13</Paragraphs>
  <TotalTime>1</TotalTime>
  <ScaleCrop>false</ScaleCrop>
  <LinksUpToDate>false</LinksUpToDate>
  <CharactersWithSpaces>7365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羊一只</cp:lastModifiedBy>
  <dcterms:modified xsi:type="dcterms:W3CDTF">2024-12-13T00:50:18Z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A37DF895B6B8411BB20576CDEE908A05_12</vt:lpwstr>
  </property>
</Properties>
</file>