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6E6AB">
      <w:pPr>
        <w:rPr>
          <w:rFonts w:ascii="宋体" w:hAnsi="宋体"/>
        </w:rPr>
      </w:pPr>
      <w:r>
        <w:rPr>
          <w:rFonts w:ascii="仿宋_GB2312" w:hAnsi="仿宋_GB2312"/>
        </w:rPr>
        <w:t>附件</w:t>
      </w:r>
      <w:r>
        <w:rPr>
          <w:rFonts w:ascii="宋体" w:hAnsi="宋体" w:eastAsia="宋体"/>
        </w:rPr>
        <w:t>1</w:t>
      </w:r>
      <w:r>
        <w:rPr>
          <w:rFonts w:ascii="仿宋_GB2312" w:hAnsi="仿宋_GB2312"/>
        </w:rPr>
        <w:t>：</w:t>
      </w:r>
    </w:p>
    <w:p w14:paraId="5EF3ED65">
      <w:pPr>
        <w:adjustRightInd w:val="0"/>
        <w:snapToGrid w:val="0"/>
        <w:spacing w:line="360" w:lineRule="auto"/>
        <w:rPr>
          <w:rFonts w:ascii="华文中宋" w:hAnsi="华文中宋" w:eastAsia="华文中宋"/>
          <w:b/>
          <w:sz w:val="52"/>
          <w:szCs w:val="52"/>
        </w:rPr>
      </w:pPr>
    </w:p>
    <w:p w14:paraId="5F929BC5">
      <w:pPr>
        <w:rPr>
          <w:rFonts w:ascii="方正小标宋简体" w:hAnsi="方正小标宋简体"/>
          <w:bCs/>
          <w:sz w:val="44"/>
          <w:szCs w:val="44"/>
        </w:rPr>
      </w:pPr>
      <w:r>
        <w:rPr>
          <w:rFonts w:hint="eastAsia" w:ascii="宋体" w:hAnsi="宋体" w:eastAsia="宋体" w:cs="宋体"/>
          <w:bCs/>
          <w:sz w:val="44"/>
          <w:szCs w:val="44"/>
        </w:rPr>
        <w:t>淮北市</w:t>
      </w:r>
      <w:r>
        <w:rPr>
          <w:rFonts w:ascii="宋体" w:hAnsi="宋体" w:eastAsia="宋体" w:cs="宋体"/>
          <w:bCs/>
          <w:sz w:val="44"/>
          <w:szCs w:val="44"/>
        </w:rPr>
        <w:t>水产技术中</w:t>
      </w:r>
      <w:r>
        <w:rPr>
          <w:rFonts w:hint="eastAsia" w:ascii="宋体" w:hAnsi="宋体" w:eastAsia="宋体" w:cs="宋体"/>
          <w:bCs/>
          <w:sz w:val="44"/>
          <w:szCs w:val="44"/>
        </w:rPr>
        <w:t>心2023年度单位决算</w:t>
      </w:r>
    </w:p>
    <w:p w14:paraId="373B3E01">
      <w:pPr>
        <w:rPr>
          <w:rFonts w:ascii="宋体" w:hAnsi="宋体"/>
          <w:sz w:val="28"/>
          <w:szCs w:val="28"/>
        </w:rPr>
      </w:pPr>
    </w:p>
    <w:p w14:paraId="0E4B86FC">
      <w:pPr>
        <w:rPr>
          <w:rFonts w:ascii="宋体" w:hAnsi="宋体"/>
          <w:sz w:val="28"/>
          <w:szCs w:val="28"/>
        </w:rPr>
      </w:pPr>
    </w:p>
    <w:p w14:paraId="17BAB363">
      <w:pPr>
        <w:rPr>
          <w:rFonts w:ascii="宋体" w:hAnsi="宋体"/>
          <w:sz w:val="28"/>
          <w:szCs w:val="28"/>
        </w:rPr>
      </w:pPr>
    </w:p>
    <w:p w14:paraId="7F90872D">
      <w:pPr>
        <w:rPr>
          <w:rFonts w:ascii="宋体" w:hAnsi="宋体"/>
          <w:sz w:val="28"/>
          <w:szCs w:val="28"/>
        </w:rPr>
      </w:pPr>
    </w:p>
    <w:p w14:paraId="49B0D893">
      <w:pPr>
        <w:rPr>
          <w:rFonts w:ascii="宋体" w:hAnsi="宋体"/>
          <w:sz w:val="28"/>
          <w:szCs w:val="28"/>
        </w:rPr>
      </w:pPr>
    </w:p>
    <w:p w14:paraId="29F1FA95">
      <w:pPr>
        <w:rPr>
          <w:rFonts w:ascii="宋体" w:hAnsi="宋体"/>
          <w:sz w:val="28"/>
          <w:szCs w:val="28"/>
        </w:rPr>
      </w:pPr>
    </w:p>
    <w:p w14:paraId="22D86997">
      <w:pPr>
        <w:rPr>
          <w:rFonts w:ascii="宋体" w:hAnsi="宋体"/>
          <w:sz w:val="28"/>
          <w:szCs w:val="28"/>
        </w:rPr>
      </w:pPr>
    </w:p>
    <w:p w14:paraId="40F59881">
      <w:pPr>
        <w:rPr>
          <w:rFonts w:ascii="宋体" w:hAnsi="宋体"/>
          <w:sz w:val="28"/>
          <w:szCs w:val="28"/>
        </w:rPr>
      </w:pPr>
    </w:p>
    <w:p w14:paraId="2D82B0E8">
      <w:pPr>
        <w:rPr>
          <w:rFonts w:ascii="宋体" w:hAnsi="宋体"/>
          <w:sz w:val="28"/>
          <w:szCs w:val="28"/>
        </w:rPr>
      </w:pPr>
    </w:p>
    <w:p w14:paraId="61E4422A">
      <w:pPr>
        <w:rPr>
          <w:rFonts w:ascii="宋体" w:hAnsi="宋体"/>
          <w:sz w:val="28"/>
          <w:szCs w:val="28"/>
        </w:rPr>
      </w:pPr>
    </w:p>
    <w:p w14:paraId="0A753C76">
      <w:pPr>
        <w:rPr>
          <w:rFonts w:ascii="宋体" w:hAnsi="宋体"/>
          <w:sz w:val="28"/>
          <w:szCs w:val="28"/>
        </w:rPr>
      </w:pPr>
    </w:p>
    <w:p w14:paraId="41B4F1C5">
      <w:pPr>
        <w:rPr>
          <w:rFonts w:ascii="宋体" w:hAnsi="宋体"/>
          <w:sz w:val="28"/>
          <w:szCs w:val="28"/>
        </w:rPr>
      </w:pPr>
    </w:p>
    <w:p w14:paraId="13B0B412">
      <w:pPr>
        <w:pStyle w:val="5"/>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2024年9月</w:t>
      </w:r>
    </w:p>
    <w:p w14:paraId="0DA45BF3">
      <w:pPr>
        <w:spacing w:line="580" w:lineRule="exact"/>
        <w:jc w:val="center"/>
        <w:rPr>
          <w:rFonts w:ascii="黑体" w:hAnsi="宋体" w:eastAsia="黑体"/>
          <w:bCs/>
          <w:sz w:val="48"/>
          <w:szCs w:val="48"/>
        </w:rPr>
      </w:pPr>
    </w:p>
    <w:p w14:paraId="11C63C38">
      <w:pPr>
        <w:spacing w:line="580" w:lineRule="exact"/>
        <w:jc w:val="center"/>
        <w:rPr>
          <w:rFonts w:ascii="黑体" w:hAnsi="宋体" w:eastAsia="黑体"/>
          <w:bCs/>
          <w:sz w:val="48"/>
          <w:szCs w:val="48"/>
        </w:rPr>
      </w:pPr>
    </w:p>
    <w:p w14:paraId="6E283D28">
      <w:pPr>
        <w:spacing w:line="580" w:lineRule="exact"/>
        <w:jc w:val="center"/>
        <w:rPr>
          <w:rFonts w:ascii="黑体" w:hAnsi="宋体" w:eastAsia="黑体"/>
          <w:bCs/>
          <w:sz w:val="48"/>
          <w:szCs w:val="48"/>
        </w:rPr>
      </w:pPr>
    </w:p>
    <w:p w14:paraId="4767C8E2">
      <w:pPr>
        <w:spacing w:line="580" w:lineRule="exact"/>
        <w:jc w:val="center"/>
        <w:rPr>
          <w:rFonts w:ascii="黑体" w:hAnsi="黑体" w:eastAsia="黑体"/>
          <w:bCs/>
          <w:sz w:val="48"/>
          <w:szCs w:val="48"/>
        </w:rPr>
      </w:pPr>
    </w:p>
    <w:p w14:paraId="16B3BF6C">
      <w:pPr>
        <w:spacing w:line="580" w:lineRule="exact"/>
        <w:jc w:val="center"/>
        <w:rPr>
          <w:rFonts w:ascii="黑体" w:hAnsi="黑体" w:eastAsia="黑体"/>
          <w:bCs/>
          <w:sz w:val="48"/>
          <w:szCs w:val="48"/>
        </w:rPr>
      </w:pPr>
    </w:p>
    <w:p w14:paraId="385CF206">
      <w:pPr>
        <w:spacing w:line="580" w:lineRule="exact"/>
        <w:jc w:val="center"/>
        <w:rPr>
          <w:rFonts w:ascii="黑体" w:hAnsi="宋体" w:eastAsia="黑体"/>
          <w:bCs/>
          <w:sz w:val="48"/>
          <w:szCs w:val="48"/>
        </w:rPr>
      </w:pPr>
      <w:r>
        <w:rPr>
          <w:rFonts w:hint="eastAsia" w:ascii="黑体" w:hAnsi="黑体" w:eastAsia="黑体"/>
          <w:bCs/>
          <w:sz w:val="48"/>
          <w:szCs w:val="48"/>
        </w:rPr>
        <w:t>目录</w:t>
      </w:r>
    </w:p>
    <w:p w14:paraId="0186A2CE">
      <w:pPr>
        <w:spacing w:line="550" w:lineRule="exact"/>
        <w:rPr>
          <w:rFonts w:ascii="宋体" w:hAnsi="宋体"/>
          <w:b/>
          <w:sz w:val="36"/>
          <w:szCs w:val="36"/>
        </w:rPr>
      </w:pPr>
      <w:r>
        <w:rPr>
          <w:rFonts w:hint="eastAsia" w:ascii="宋体" w:hAnsi="宋体" w:eastAsia="宋体" w:cs="宋体"/>
          <w:b/>
          <w:sz w:val="36"/>
          <w:szCs w:val="36"/>
        </w:rPr>
        <w:t>第一部分淮北市</w:t>
      </w:r>
      <w:r>
        <w:rPr>
          <w:rFonts w:ascii="宋体" w:hAnsi="宋体" w:eastAsia="宋体" w:cs="宋体"/>
          <w:b/>
          <w:sz w:val="36"/>
          <w:szCs w:val="36"/>
        </w:rPr>
        <w:t>水产技术中</w:t>
      </w:r>
      <w:r>
        <w:rPr>
          <w:rFonts w:hint="eastAsia" w:ascii="宋体" w:hAnsi="宋体" w:eastAsia="宋体" w:cs="宋体"/>
          <w:b/>
          <w:sz w:val="36"/>
          <w:szCs w:val="36"/>
        </w:rPr>
        <w:t>心概况</w:t>
      </w:r>
    </w:p>
    <w:p w14:paraId="0E07433A">
      <w:pPr>
        <w:spacing w:line="550" w:lineRule="exact"/>
        <w:rPr>
          <w:rFonts w:ascii="宋体" w:hAnsi="宋体"/>
          <w:bCs/>
          <w:sz w:val="36"/>
          <w:szCs w:val="36"/>
        </w:rPr>
      </w:pPr>
      <w:r>
        <w:rPr>
          <w:rFonts w:hint="eastAsia" w:ascii="宋体" w:hAnsi="宋体" w:eastAsia="宋体" w:cs="宋体"/>
          <w:bCs/>
          <w:sz w:val="36"/>
          <w:szCs w:val="36"/>
        </w:rPr>
        <w:t>一、主要职责</w:t>
      </w:r>
    </w:p>
    <w:p w14:paraId="5FCA2917">
      <w:pPr>
        <w:spacing w:line="550" w:lineRule="exact"/>
        <w:rPr>
          <w:rFonts w:ascii="宋体" w:hAnsi="宋体"/>
          <w:bCs/>
          <w:sz w:val="36"/>
          <w:szCs w:val="36"/>
        </w:rPr>
      </w:pPr>
      <w:r>
        <w:rPr>
          <w:rFonts w:hint="eastAsia" w:ascii="宋体" w:hAnsi="宋体" w:eastAsia="宋体" w:cs="宋体"/>
          <w:bCs/>
          <w:sz w:val="36"/>
          <w:szCs w:val="36"/>
        </w:rPr>
        <w:t>二、单位决算构成</w:t>
      </w:r>
    </w:p>
    <w:p w14:paraId="507FB71A">
      <w:pPr>
        <w:spacing w:line="550" w:lineRule="exact"/>
        <w:rPr>
          <w:rFonts w:ascii="宋体" w:hAnsi="宋体"/>
          <w:b/>
          <w:sz w:val="36"/>
          <w:szCs w:val="36"/>
        </w:rPr>
      </w:pPr>
      <w:r>
        <w:rPr>
          <w:rFonts w:hint="eastAsia" w:ascii="宋体" w:hAnsi="宋体" w:eastAsia="宋体" w:cs="宋体"/>
          <w:b/>
          <w:sz w:val="36"/>
          <w:szCs w:val="36"/>
        </w:rPr>
        <w:t>第二部分淮北市水产技术中心2023年度单位决算情况说明</w:t>
      </w:r>
    </w:p>
    <w:p w14:paraId="0B2139B7">
      <w:pPr>
        <w:spacing w:line="550" w:lineRule="exact"/>
        <w:rPr>
          <w:rFonts w:ascii="宋体" w:hAnsi="宋体"/>
          <w:bCs/>
          <w:sz w:val="36"/>
          <w:szCs w:val="36"/>
        </w:rPr>
      </w:pPr>
      <w:r>
        <w:rPr>
          <w:rFonts w:hint="eastAsia" w:ascii="宋体" w:hAnsi="宋体" w:eastAsia="宋体" w:cs="宋体"/>
          <w:bCs/>
          <w:sz w:val="36"/>
          <w:szCs w:val="36"/>
        </w:rPr>
        <w:t>一、收入支出决算总体情况说明</w:t>
      </w:r>
    </w:p>
    <w:p w14:paraId="65A391EE">
      <w:pPr>
        <w:spacing w:line="550" w:lineRule="exact"/>
        <w:rPr>
          <w:rFonts w:ascii="宋体" w:hAnsi="宋体"/>
          <w:bCs/>
          <w:sz w:val="36"/>
          <w:szCs w:val="36"/>
        </w:rPr>
      </w:pPr>
      <w:r>
        <w:rPr>
          <w:rFonts w:hint="eastAsia" w:ascii="宋体" w:hAnsi="宋体" w:eastAsia="宋体" w:cs="宋体"/>
          <w:bCs/>
          <w:sz w:val="36"/>
          <w:szCs w:val="36"/>
        </w:rPr>
        <w:t>二、收入决算情况说明</w:t>
      </w:r>
    </w:p>
    <w:p w14:paraId="27C3F50B">
      <w:pPr>
        <w:spacing w:line="550" w:lineRule="exact"/>
        <w:rPr>
          <w:rFonts w:ascii="宋体" w:hAnsi="宋体"/>
          <w:bCs/>
          <w:sz w:val="36"/>
          <w:szCs w:val="36"/>
        </w:rPr>
      </w:pPr>
      <w:r>
        <w:rPr>
          <w:rFonts w:hint="eastAsia" w:ascii="宋体" w:hAnsi="宋体" w:eastAsia="宋体" w:cs="宋体"/>
          <w:bCs/>
          <w:sz w:val="36"/>
          <w:szCs w:val="36"/>
        </w:rPr>
        <w:t>三、支出决算情况说明</w:t>
      </w:r>
    </w:p>
    <w:p w14:paraId="3AEBFEFF">
      <w:pPr>
        <w:spacing w:line="550" w:lineRule="exact"/>
        <w:rPr>
          <w:rFonts w:ascii="宋体" w:hAnsi="宋体"/>
          <w:bCs/>
          <w:sz w:val="36"/>
          <w:szCs w:val="36"/>
        </w:rPr>
      </w:pPr>
      <w:r>
        <w:rPr>
          <w:rFonts w:hint="eastAsia" w:ascii="宋体" w:hAnsi="宋体" w:eastAsia="宋体" w:cs="宋体"/>
          <w:bCs/>
          <w:sz w:val="36"/>
          <w:szCs w:val="36"/>
        </w:rPr>
        <w:t>四、财政拨款收入支出决算总体情况说明</w:t>
      </w:r>
    </w:p>
    <w:p w14:paraId="2568637C">
      <w:pPr>
        <w:spacing w:line="550" w:lineRule="exact"/>
        <w:rPr>
          <w:rFonts w:ascii="宋体" w:hAnsi="宋体"/>
          <w:bCs/>
          <w:sz w:val="36"/>
          <w:szCs w:val="36"/>
        </w:rPr>
      </w:pPr>
      <w:r>
        <w:rPr>
          <w:rFonts w:hint="eastAsia" w:ascii="宋体" w:hAnsi="宋体" w:eastAsia="宋体" w:cs="宋体"/>
          <w:bCs/>
          <w:sz w:val="36"/>
          <w:szCs w:val="36"/>
        </w:rPr>
        <w:t>五、一般公共预算财政拨款支出决算情况说明</w:t>
      </w:r>
    </w:p>
    <w:p w14:paraId="144D3A11">
      <w:pPr>
        <w:spacing w:line="550" w:lineRule="exact"/>
        <w:rPr>
          <w:rFonts w:ascii="宋体" w:hAnsi="宋体"/>
          <w:bCs/>
          <w:sz w:val="36"/>
          <w:szCs w:val="36"/>
        </w:rPr>
      </w:pPr>
      <w:r>
        <w:rPr>
          <w:rFonts w:hint="eastAsia" w:ascii="宋体" w:hAnsi="宋体" w:eastAsia="宋体" w:cs="宋体"/>
          <w:bCs/>
          <w:sz w:val="36"/>
          <w:szCs w:val="36"/>
        </w:rPr>
        <w:t>六、一般公共预算财政拨款基本支出决算情况说明</w:t>
      </w:r>
    </w:p>
    <w:p w14:paraId="60E9D881">
      <w:pPr>
        <w:spacing w:line="550" w:lineRule="exact"/>
        <w:rPr>
          <w:rFonts w:ascii="宋体" w:hAnsi="宋体"/>
          <w:bCs/>
          <w:sz w:val="36"/>
          <w:szCs w:val="36"/>
        </w:rPr>
      </w:pPr>
      <w:r>
        <w:rPr>
          <w:rFonts w:hint="eastAsia" w:ascii="宋体" w:hAnsi="宋体" w:eastAsia="宋体" w:cs="宋体"/>
          <w:bCs/>
          <w:sz w:val="36"/>
          <w:szCs w:val="36"/>
        </w:rPr>
        <w:t>七、政府性基金预算财政拨款收入支出决算情况说明</w:t>
      </w:r>
    </w:p>
    <w:p w14:paraId="4928562B">
      <w:pPr>
        <w:spacing w:line="550" w:lineRule="exact"/>
        <w:rPr>
          <w:rFonts w:ascii="宋体" w:hAnsi="宋体"/>
          <w:bCs/>
          <w:sz w:val="36"/>
          <w:szCs w:val="36"/>
        </w:rPr>
      </w:pPr>
      <w:r>
        <w:rPr>
          <w:rFonts w:hint="eastAsia" w:ascii="宋体" w:hAnsi="宋体" w:eastAsia="宋体" w:cs="宋体"/>
          <w:bCs/>
          <w:sz w:val="36"/>
          <w:szCs w:val="36"/>
        </w:rPr>
        <w:t>八、国有资本经营预算财政拨款支出决算情况说明</w:t>
      </w:r>
    </w:p>
    <w:p w14:paraId="1923E53B">
      <w:pPr>
        <w:spacing w:line="550" w:lineRule="exact"/>
        <w:rPr>
          <w:rFonts w:ascii="宋体" w:hAnsi="宋体"/>
          <w:bCs/>
          <w:sz w:val="36"/>
          <w:szCs w:val="36"/>
        </w:rPr>
      </w:pPr>
      <w:r>
        <w:rPr>
          <w:rFonts w:hint="eastAsia" w:ascii="宋体" w:hAnsi="宋体" w:eastAsia="宋体" w:cs="宋体"/>
          <w:bCs/>
          <w:sz w:val="36"/>
          <w:szCs w:val="36"/>
        </w:rPr>
        <w:t>九、其他重要事项情况说明</w:t>
      </w:r>
    </w:p>
    <w:p w14:paraId="0DFC9B7F">
      <w:pPr>
        <w:spacing w:line="550" w:lineRule="exact"/>
        <w:rPr>
          <w:rFonts w:ascii="宋体" w:hAnsi="宋体"/>
          <w:b/>
          <w:sz w:val="36"/>
          <w:szCs w:val="36"/>
        </w:rPr>
      </w:pPr>
      <w:r>
        <w:rPr>
          <w:rFonts w:hint="eastAsia" w:ascii="宋体" w:hAnsi="宋体" w:eastAsia="宋体" w:cs="宋体"/>
          <w:b/>
          <w:sz w:val="36"/>
          <w:szCs w:val="36"/>
        </w:rPr>
        <w:t>第三部分名词解释</w:t>
      </w:r>
    </w:p>
    <w:p w14:paraId="76D53F18">
      <w:pPr>
        <w:spacing w:line="550" w:lineRule="exact"/>
        <w:rPr>
          <w:rFonts w:ascii="宋体" w:hAnsi="宋体"/>
          <w:bCs/>
          <w:sz w:val="36"/>
          <w:szCs w:val="36"/>
        </w:rPr>
      </w:pPr>
      <w:r>
        <w:rPr>
          <w:rFonts w:hint="eastAsia" w:ascii="宋体" w:hAnsi="宋体" w:eastAsia="宋体" w:cs="宋体"/>
          <w:b/>
          <w:sz w:val="36"/>
          <w:szCs w:val="36"/>
        </w:rPr>
        <w:t>附件：</w:t>
      </w:r>
      <w:r>
        <w:rPr>
          <w:rFonts w:ascii="宋体" w:hAnsi="宋体" w:eastAsia="宋体"/>
          <w:bCs/>
          <w:sz w:val="36"/>
          <w:szCs w:val="36"/>
        </w:rPr>
        <w:t>1.</w:t>
      </w:r>
      <w:r>
        <w:rPr>
          <w:rFonts w:hint="eastAsia" w:ascii="宋体" w:hAnsi="宋体" w:eastAsia="宋体" w:cs="宋体"/>
          <w:bCs/>
          <w:sz w:val="36"/>
          <w:szCs w:val="36"/>
        </w:rPr>
        <w:t>淮北市</w:t>
      </w:r>
      <w:r>
        <w:rPr>
          <w:rFonts w:ascii="宋体" w:hAnsi="宋体" w:eastAsia="宋体" w:cs="宋体"/>
          <w:bCs/>
          <w:sz w:val="36"/>
          <w:szCs w:val="36"/>
        </w:rPr>
        <w:t>水产技术中</w:t>
      </w:r>
      <w:r>
        <w:rPr>
          <w:rFonts w:hint="eastAsia" w:ascii="宋体" w:hAnsi="宋体" w:eastAsia="宋体" w:cs="宋体"/>
          <w:bCs/>
          <w:sz w:val="36"/>
          <w:szCs w:val="36"/>
        </w:rPr>
        <w:t>心</w:t>
      </w:r>
      <w:r>
        <w:rPr>
          <w:rFonts w:ascii="宋体" w:hAnsi="宋体" w:eastAsia="宋体"/>
          <w:bCs/>
          <w:sz w:val="36"/>
          <w:szCs w:val="36"/>
        </w:rPr>
        <w:t>2023</w:t>
      </w:r>
      <w:r>
        <w:rPr>
          <w:rFonts w:hint="eastAsia" w:ascii="宋体" w:hAnsi="宋体" w:eastAsia="宋体" w:cs="宋体"/>
          <w:bCs/>
          <w:sz w:val="36"/>
          <w:szCs w:val="36"/>
        </w:rPr>
        <w:t>年度单位决算表</w:t>
      </w:r>
    </w:p>
    <w:p w14:paraId="79A48C33">
      <w:pPr>
        <w:spacing w:line="550" w:lineRule="exact"/>
        <w:ind w:firstLine="1080" w:firstLineChars="300"/>
        <w:rPr>
          <w:rFonts w:ascii="宋体" w:hAnsi="宋体"/>
          <w:bCs/>
          <w:sz w:val="36"/>
          <w:szCs w:val="36"/>
        </w:rPr>
      </w:pPr>
      <w:r>
        <w:rPr>
          <w:rFonts w:ascii="宋体" w:hAnsi="宋体" w:eastAsia="宋体"/>
          <w:bCs/>
          <w:sz w:val="36"/>
          <w:szCs w:val="36"/>
        </w:rPr>
        <w:t>2.2023</w:t>
      </w:r>
      <w:r>
        <w:rPr>
          <w:rFonts w:hint="eastAsia" w:ascii="宋体" w:hAnsi="宋体" w:eastAsia="宋体" w:cs="宋体"/>
          <w:bCs/>
          <w:sz w:val="36"/>
          <w:szCs w:val="36"/>
        </w:rPr>
        <w:t>年度项目支出绩效自评表</w:t>
      </w:r>
    </w:p>
    <w:p w14:paraId="7359611D">
      <w:pPr>
        <w:spacing w:line="550" w:lineRule="exact"/>
        <w:rPr>
          <w:rFonts w:ascii="宋体" w:hAnsi="宋体"/>
          <w:bCs/>
          <w:sz w:val="36"/>
          <w:szCs w:val="36"/>
        </w:rPr>
      </w:pPr>
    </w:p>
    <w:p w14:paraId="5CE8FB60">
      <w:pPr>
        <w:rPr>
          <w:rFonts w:ascii="宋体" w:hAnsi="宋体"/>
          <w:b/>
          <w:sz w:val="36"/>
          <w:szCs w:val="36"/>
        </w:rPr>
      </w:pPr>
    </w:p>
    <w:p w14:paraId="7E31E0FA">
      <w:pPr>
        <w:jc w:val="center"/>
        <w:rPr>
          <w:rFonts w:ascii="黑体" w:hAnsi="黑体" w:eastAsia="黑体"/>
        </w:rPr>
      </w:pPr>
      <w:r>
        <w:rPr>
          <w:rFonts w:ascii="宋体" w:hAnsi="宋体"/>
          <w:b/>
          <w:sz w:val="36"/>
          <w:szCs w:val="36"/>
        </w:rPr>
        <w:br w:type="page"/>
      </w:r>
      <w:r>
        <w:rPr>
          <w:rFonts w:hint="eastAsia" w:ascii="黑体" w:hAnsi="黑体" w:eastAsia="黑体"/>
        </w:rPr>
        <w:t>第一部分 淮北市水产技术中心概况</w:t>
      </w:r>
    </w:p>
    <w:p w14:paraId="41A007EE">
      <w:pPr>
        <w:pStyle w:val="9"/>
        <w:ind w:left="640" w:firstLine="320" w:firstLineChars="100"/>
        <w:rPr>
          <w:rFonts w:ascii="黑体" w:hAnsi="黑体" w:eastAsia="黑体"/>
        </w:rPr>
      </w:pPr>
      <w:r>
        <w:rPr>
          <w:rFonts w:hint="eastAsia" w:ascii="黑体" w:hAnsi="黑体" w:eastAsia="黑体"/>
        </w:rPr>
        <w:t>一、主要职责</w:t>
      </w:r>
    </w:p>
    <w:p w14:paraId="63D92FB5">
      <w:pPr>
        <w:ind w:left="320" w:leftChars="100" w:firstLine="482" w:firstLineChars="150"/>
        <w:rPr>
          <w:rFonts w:hint="eastAsia" w:ascii="仿宋_GB2312" w:hAnsi="仿宋_GB2312" w:eastAsia="仿宋_GB2312"/>
          <w:lang w:eastAsia="zh-CN"/>
        </w:rPr>
      </w:pPr>
      <w:r>
        <w:rPr>
          <w:rFonts w:hint="eastAsia" w:ascii="宋体" w:hAnsi="宋体" w:eastAsia="宋体" w:cs="宋体"/>
          <w:b/>
        </w:rPr>
        <w:t>（一）</w:t>
      </w:r>
      <w:r>
        <w:rPr>
          <w:rFonts w:ascii="仿宋_GB2312" w:hAnsi="仿宋_GB2312"/>
        </w:rPr>
        <w:t>负责渔业养殖水域污染事故调查处理、渔业资源养护（增殖放流）</w:t>
      </w:r>
      <w:r>
        <w:rPr>
          <w:rFonts w:hint="eastAsia" w:ascii="仿宋_GB2312" w:hAnsi="仿宋_GB2312"/>
          <w:lang w:eastAsia="zh-CN"/>
        </w:rPr>
        <w:t>。</w:t>
      </w:r>
    </w:p>
    <w:p w14:paraId="67C8FC99">
      <w:pPr>
        <w:ind w:left="320" w:leftChars="100" w:firstLine="482" w:firstLineChars="150"/>
        <w:rPr>
          <w:rFonts w:hint="eastAsia" w:ascii="仿宋_GB2312" w:hAnsi="仿宋_GB2312" w:eastAsia="仿宋_GB2312"/>
          <w:lang w:eastAsia="zh-CN"/>
        </w:rPr>
      </w:pPr>
      <w:r>
        <w:rPr>
          <w:rFonts w:hint="eastAsia" w:ascii="宋体" w:hAnsi="宋体" w:eastAsia="宋体" w:cs="宋体"/>
          <w:b/>
        </w:rPr>
        <w:t>（</w:t>
      </w:r>
      <w:r>
        <w:rPr>
          <w:rFonts w:hint="eastAsia" w:ascii="宋体" w:hAnsi="宋体" w:eastAsia="宋体" w:cs="宋体"/>
          <w:b/>
          <w:lang w:val="en-US" w:eastAsia="zh-CN"/>
        </w:rPr>
        <w:t>二</w:t>
      </w:r>
      <w:r>
        <w:rPr>
          <w:rFonts w:hint="eastAsia" w:ascii="宋体" w:hAnsi="宋体" w:eastAsia="宋体" w:cs="宋体"/>
          <w:b/>
        </w:rPr>
        <w:t>）</w:t>
      </w:r>
      <w:r>
        <w:rPr>
          <w:rFonts w:ascii="仿宋_GB2312" w:hAnsi="仿宋_GB2312"/>
        </w:rPr>
        <w:t>水产品质量安全的动态监测</w:t>
      </w:r>
      <w:r>
        <w:rPr>
          <w:rFonts w:hint="eastAsia" w:ascii="仿宋_GB2312" w:hAnsi="仿宋_GB2312"/>
          <w:lang w:val="en-US" w:eastAsia="zh-CN"/>
        </w:rPr>
        <w:t>,</w:t>
      </w:r>
      <w:r>
        <w:rPr>
          <w:rFonts w:ascii="仿宋_GB2312" w:hAnsi="仿宋_GB2312"/>
        </w:rPr>
        <w:t>水生动物的防疫、检疫相关工作</w:t>
      </w:r>
      <w:r>
        <w:rPr>
          <w:rFonts w:hint="eastAsia" w:ascii="仿宋_GB2312" w:hAnsi="仿宋_GB2312"/>
          <w:lang w:eastAsia="zh-CN"/>
        </w:rPr>
        <w:t>。</w:t>
      </w:r>
    </w:p>
    <w:p w14:paraId="3CB1F9B8">
      <w:pPr>
        <w:ind w:left="320" w:leftChars="100" w:firstLine="482" w:firstLineChars="150"/>
        <w:rPr>
          <w:rFonts w:hint="eastAsia" w:ascii="仿宋_GB2312" w:hAnsi="仿宋_GB2312" w:eastAsia="仿宋_GB2312"/>
          <w:lang w:eastAsia="zh-CN"/>
        </w:rPr>
      </w:pPr>
      <w:r>
        <w:rPr>
          <w:rFonts w:hint="eastAsia" w:ascii="宋体" w:hAnsi="宋体" w:eastAsia="宋体" w:cs="宋体"/>
          <w:b/>
        </w:rPr>
        <w:t>（</w:t>
      </w:r>
      <w:r>
        <w:rPr>
          <w:rFonts w:hint="eastAsia" w:ascii="宋体" w:hAnsi="宋体" w:eastAsia="宋体" w:cs="宋体"/>
          <w:b/>
          <w:lang w:val="en-US" w:eastAsia="zh-CN"/>
        </w:rPr>
        <w:t>三</w:t>
      </w:r>
      <w:r>
        <w:rPr>
          <w:rFonts w:hint="eastAsia" w:ascii="宋体" w:hAnsi="宋体" w:eastAsia="宋体" w:cs="宋体"/>
          <w:b/>
        </w:rPr>
        <w:t>）</w:t>
      </w:r>
      <w:r>
        <w:rPr>
          <w:rFonts w:ascii="仿宋_GB2312" w:hAnsi="仿宋_GB2312"/>
        </w:rPr>
        <w:t>负责水产新品种、新技术的引进、试验、示范</w:t>
      </w:r>
      <w:bookmarkStart w:id="0" w:name="_GoBack"/>
      <w:bookmarkEnd w:id="0"/>
      <w:r>
        <w:rPr>
          <w:rFonts w:ascii="仿宋_GB2312" w:hAnsi="仿宋_GB2312"/>
        </w:rPr>
        <w:t>与推广</w:t>
      </w:r>
      <w:r>
        <w:rPr>
          <w:rFonts w:hint="eastAsia" w:ascii="仿宋_GB2312" w:hAnsi="仿宋_GB2312"/>
          <w:lang w:eastAsia="zh-CN"/>
        </w:rPr>
        <w:t>。</w:t>
      </w:r>
    </w:p>
    <w:p w14:paraId="6FB2DFF9">
      <w:pPr>
        <w:ind w:firstLine="803" w:firstLineChars="250"/>
        <w:rPr>
          <w:rFonts w:hint="eastAsia" w:ascii="仿宋_GB2312" w:hAnsi="仿宋_GB2312" w:eastAsia="仿宋_GB2312"/>
          <w:lang w:eastAsia="zh-CN"/>
        </w:rPr>
      </w:pPr>
      <w:r>
        <w:rPr>
          <w:rFonts w:hint="eastAsia" w:ascii="宋体" w:hAnsi="宋体" w:eastAsia="宋体" w:cs="宋体"/>
          <w:b/>
        </w:rPr>
        <w:t>（</w:t>
      </w:r>
      <w:r>
        <w:rPr>
          <w:rFonts w:hint="eastAsia" w:ascii="宋体" w:hAnsi="宋体" w:eastAsia="宋体" w:cs="宋体"/>
          <w:b/>
          <w:lang w:val="en-US" w:eastAsia="zh-CN"/>
        </w:rPr>
        <w:t>四</w:t>
      </w:r>
      <w:r>
        <w:rPr>
          <w:rFonts w:hint="eastAsia" w:ascii="宋体" w:hAnsi="宋体" w:eastAsia="宋体" w:cs="宋体"/>
          <w:b/>
        </w:rPr>
        <w:t>）</w:t>
      </w:r>
      <w:r>
        <w:rPr>
          <w:rFonts w:ascii="仿宋_GB2312" w:hAnsi="仿宋_GB2312"/>
        </w:rPr>
        <w:t>负责水产技术咨询、信息服务</w:t>
      </w:r>
      <w:r>
        <w:rPr>
          <w:rFonts w:hint="eastAsia" w:ascii="仿宋_GB2312" w:hAnsi="仿宋_GB2312"/>
          <w:lang w:eastAsia="zh-CN"/>
        </w:rPr>
        <w:t>。</w:t>
      </w:r>
    </w:p>
    <w:p w14:paraId="15E86FB2">
      <w:pPr>
        <w:ind w:firstLine="803" w:firstLineChars="250"/>
        <w:rPr>
          <w:rFonts w:hint="eastAsia" w:ascii="仿宋_GB2312" w:hAnsi="仿宋_GB2312"/>
          <w:lang w:eastAsia="zh-CN"/>
        </w:rPr>
      </w:pPr>
      <w:r>
        <w:rPr>
          <w:rFonts w:hint="eastAsia" w:ascii="宋体" w:hAnsi="宋体" w:eastAsia="宋体" w:cs="宋体"/>
          <w:b/>
        </w:rPr>
        <w:t>（</w:t>
      </w:r>
      <w:r>
        <w:rPr>
          <w:rFonts w:hint="eastAsia" w:ascii="宋体" w:hAnsi="宋体" w:eastAsia="宋体" w:cs="宋体"/>
          <w:b/>
          <w:lang w:val="en-US" w:eastAsia="zh-CN"/>
        </w:rPr>
        <w:t>五</w:t>
      </w:r>
      <w:r>
        <w:rPr>
          <w:rFonts w:hint="eastAsia" w:ascii="宋体" w:hAnsi="宋体" w:eastAsia="宋体" w:cs="宋体"/>
          <w:b/>
        </w:rPr>
        <w:t>）</w:t>
      </w:r>
      <w:r>
        <w:rPr>
          <w:rFonts w:ascii="仿宋_GB2312" w:hAnsi="仿宋_GB2312"/>
        </w:rPr>
        <w:t>负责水产行业专业技术培训</w:t>
      </w:r>
      <w:r>
        <w:rPr>
          <w:rFonts w:hint="eastAsia" w:ascii="仿宋_GB2312" w:hAnsi="仿宋_GB2312"/>
          <w:lang w:eastAsia="zh-CN"/>
        </w:rPr>
        <w:t>。</w:t>
      </w:r>
    </w:p>
    <w:p w14:paraId="31A69F98">
      <w:pPr>
        <w:ind w:firstLine="803" w:firstLineChars="250"/>
      </w:pPr>
      <w:r>
        <w:rPr>
          <w:rFonts w:hint="eastAsia" w:ascii="宋体" w:hAnsi="宋体" w:eastAsia="宋体" w:cs="宋体"/>
          <w:b/>
        </w:rPr>
        <w:t>（</w:t>
      </w:r>
      <w:r>
        <w:rPr>
          <w:rFonts w:hint="eastAsia" w:ascii="宋体" w:hAnsi="宋体" w:eastAsia="宋体" w:cs="宋体"/>
          <w:b/>
          <w:lang w:val="en-US" w:eastAsia="zh-CN"/>
        </w:rPr>
        <w:t>六</w:t>
      </w:r>
      <w:r>
        <w:rPr>
          <w:rFonts w:hint="eastAsia" w:ascii="宋体" w:hAnsi="宋体" w:eastAsia="宋体" w:cs="宋体"/>
          <w:b/>
        </w:rPr>
        <w:t>）</w:t>
      </w:r>
      <w:r>
        <w:rPr>
          <w:rFonts w:ascii="仿宋_GB2312" w:hAnsi="仿宋_GB2312"/>
        </w:rPr>
        <w:t>负责水产养殖病害的测报、预防与控制等工作</w:t>
      </w:r>
      <w:r>
        <w:rPr>
          <w:rFonts w:hint="eastAsia" w:ascii="宋体" w:hAnsi="宋体" w:eastAsia="宋体" w:cs="宋体"/>
        </w:rPr>
        <w:t>。</w:t>
      </w:r>
    </w:p>
    <w:p w14:paraId="1C0533A5">
      <w:pPr>
        <w:ind w:firstLine="640" w:firstLineChars="200"/>
        <w:rPr>
          <w:rFonts w:ascii="黑体" w:hAnsi="黑体" w:eastAsia="黑体"/>
        </w:rPr>
      </w:pPr>
      <w:r>
        <w:rPr>
          <w:rFonts w:hint="eastAsia" w:ascii="黑体" w:hAnsi="黑体" w:eastAsia="黑体"/>
        </w:rPr>
        <w:t>二、单位决算构成</w:t>
      </w:r>
    </w:p>
    <w:p w14:paraId="3678D6EF">
      <w:pPr>
        <w:ind w:firstLine="640" w:firstLineChars="200"/>
        <w:rPr>
          <w:rFonts w:ascii="仿宋_GB2312" w:hAnsi="仿宋"/>
        </w:rPr>
      </w:pPr>
      <w:r>
        <w:rPr>
          <w:rFonts w:ascii="仿宋_GB2312" w:hAnsi="仿宋_GB2312"/>
        </w:rPr>
        <w:t>淮北市水产技术中心2023年度</w:t>
      </w:r>
      <w:r>
        <w:rPr>
          <w:rFonts w:hint="eastAsia" w:ascii="仿宋_GB2312" w:hAnsi="仿宋_GB2312" w:eastAsiaTheme="minorEastAsia"/>
        </w:rPr>
        <w:t>单位</w:t>
      </w:r>
      <w:r>
        <w:rPr>
          <w:rFonts w:ascii="仿宋_GB2312" w:hAnsi="仿宋_GB2312"/>
        </w:rPr>
        <w:t>决算仅包括单位本级决算，无其他下属单位决算;</w:t>
      </w:r>
      <w:r>
        <w:rPr>
          <w:rFonts w:hint="eastAsia" w:ascii="仿宋_GB2312" w:hAnsi="仿宋_GB2312"/>
        </w:rPr>
        <w:t>纳入</w:t>
      </w:r>
      <w:r>
        <w:rPr>
          <w:rFonts w:ascii="仿宋_GB2312" w:hAnsi="仿宋_GB2312"/>
        </w:rPr>
        <w:t>淮北市水产技术中心2023年度</w:t>
      </w:r>
      <w:r>
        <w:rPr>
          <w:rFonts w:hint="eastAsia" w:ascii="仿宋_GB2312" w:hAnsi="仿宋_GB2312" w:eastAsiaTheme="minorEastAsia"/>
        </w:rPr>
        <w:t>单位</w:t>
      </w:r>
      <w:r>
        <w:rPr>
          <w:rFonts w:ascii="仿宋_GB2312" w:hAnsi="仿宋_GB2312"/>
        </w:rPr>
        <w:t>决算</w:t>
      </w:r>
      <w:r>
        <w:rPr>
          <w:rFonts w:hint="eastAsia" w:ascii="仿宋_GB2312" w:hAnsi="仿宋_GB2312"/>
        </w:rPr>
        <w:t>编制范围的下属单位共1个，</w:t>
      </w:r>
      <w:r>
        <w:rPr>
          <w:rFonts w:ascii="仿宋_GB2312" w:hAnsi="仿宋_GB2312"/>
        </w:rPr>
        <w:t>具体情况见下表</w:t>
      </w:r>
      <w:r>
        <w:rPr>
          <w:rFonts w:hint="eastAsia" w:ascii="宋体" w:hAnsi="宋体" w:eastAsia="宋体" w:cs="宋体"/>
        </w:rPr>
        <w:t>：</w:t>
      </w:r>
    </w:p>
    <w:tbl>
      <w:tblPr>
        <w:tblStyle w:val="6"/>
        <w:tblW w:w="0" w:type="auto"/>
        <w:tblInd w:w="828" w:type="dxa"/>
        <w:tblLayout w:type="fixed"/>
        <w:tblCellMar>
          <w:top w:w="0" w:type="dxa"/>
          <w:left w:w="0" w:type="dxa"/>
          <w:bottom w:w="0" w:type="dxa"/>
          <w:right w:w="0" w:type="dxa"/>
        </w:tblCellMar>
      </w:tblPr>
      <w:tblGrid>
        <w:gridCol w:w="1389"/>
        <w:gridCol w:w="5837"/>
      </w:tblGrid>
      <w:tr w14:paraId="2E62780B">
        <w:tblPrEx>
          <w:tblCellMar>
            <w:top w:w="0" w:type="dxa"/>
            <w:left w:w="0" w:type="dxa"/>
            <w:bottom w:w="0" w:type="dxa"/>
            <w:right w:w="0" w:type="dxa"/>
          </w:tblCellMar>
        </w:tblPrEx>
        <w:trPr>
          <w:trHeight w:val="397" w:hRule="atLeas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2DC332">
            <w:pPr>
              <w:jc w:val="center"/>
              <w:rPr>
                <w:rFonts w:ascii="宋体" w:hAnsi="宋体"/>
                <w:sz w:val="24"/>
                <w:szCs w:val="24"/>
              </w:rPr>
            </w:pPr>
            <w:r>
              <w:rPr>
                <w:rFonts w:hint="eastAsia" w:ascii="宋体" w:hAnsi="宋体" w:eastAsia="宋体" w:cs="宋体"/>
                <w:sz w:val="24"/>
                <w:szCs w:val="24"/>
              </w:rPr>
              <w:t>序号</w:t>
            </w:r>
          </w:p>
        </w:tc>
        <w:tc>
          <w:tcPr>
            <w:tcW w:w="58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7032D5">
            <w:pPr>
              <w:jc w:val="center"/>
              <w:rPr>
                <w:rFonts w:ascii="宋体" w:hAnsi="宋体"/>
                <w:sz w:val="24"/>
                <w:szCs w:val="24"/>
              </w:rPr>
            </w:pPr>
            <w:r>
              <w:rPr>
                <w:rFonts w:hint="eastAsia" w:ascii="宋体" w:hAnsi="宋体" w:eastAsia="宋体" w:cs="宋体"/>
                <w:sz w:val="24"/>
                <w:szCs w:val="24"/>
              </w:rPr>
              <w:t>单位名称</w:t>
            </w:r>
          </w:p>
        </w:tc>
      </w:tr>
      <w:tr w14:paraId="6995135B">
        <w:tblPrEx>
          <w:tblCellMar>
            <w:top w:w="0" w:type="dxa"/>
            <w:left w:w="0" w:type="dxa"/>
            <w:bottom w:w="0" w:type="dxa"/>
            <w:right w:w="0" w:type="dxa"/>
          </w:tblCellMar>
        </w:tblPrEx>
        <w:trPr>
          <w:trHeight w:val="397" w:hRule="atLeas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E3EC39">
            <w:pPr>
              <w:jc w:val="center"/>
              <w:rPr>
                <w:rFonts w:ascii="宋体" w:hAnsi="宋体" w:cs="宋体"/>
                <w:sz w:val="24"/>
                <w:szCs w:val="24"/>
              </w:rPr>
            </w:pPr>
            <w:r>
              <w:rPr>
                <w:rFonts w:ascii="宋体" w:hAnsi="宋体" w:eastAsia="宋体"/>
                <w:sz w:val="24"/>
                <w:szCs w:val="24"/>
              </w:rPr>
              <w:t>1</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A9FA15">
            <w:pPr>
              <w:jc w:val="center"/>
              <w:rPr>
                <w:rFonts w:ascii="宋体" w:hAnsi="宋体"/>
                <w:sz w:val="24"/>
                <w:szCs w:val="24"/>
              </w:rPr>
            </w:pPr>
            <w:r>
              <w:rPr>
                <w:rFonts w:ascii="仿宋_GB2312" w:hAnsi="仿宋_GB2312"/>
              </w:rPr>
              <w:t>淮北市水产技术中</w:t>
            </w:r>
            <w:r>
              <w:rPr>
                <w:rFonts w:hint="eastAsia" w:ascii="宋体" w:hAnsi="宋体" w:eastAsia="宋体" w:cs="宋体"/>
              </w:rPr>
              <w:t>心</w:t>
            </w:r>
          </w:p>
        </w:tc>
      </w:tr>
    </w:tbl>
    <w:p w14:paraId="41198381">
      <w:pPr>
        <w:pStyle w:val="2"/>
        <w:rPr>
          <w:rFonts w:ascii="黑体" w:hAnsi="黑体"/>
        </w:rPr>
      </w:pPr>
    </w:p>
    <w:p w14:paraId="5DF53F02">
      <w:pPr>
        <w:rPr>
          <w:rFonts w:ascii="黑体" w:hAnsi="黑体" w:eastAsia="黑体"/>
        </w:rPr>
      </w:pPr>
      <w:r>
        <w:rPr>
          <w:rFonts w:hint="eastAsia" w:ascii="黑体" w:hAnsi="黑体" w:eastAsia="黑体"/>
        </w:rPr>
        <w:t>第二部分 淮北市水产技术中心2023年度单位决算情况说明</w:t>
      </w:r>
    </w:p>
    <w:p w14:paraId="6C44E654">
      <w:pPr>
        <w:ind w:firstLine="640" w:firstLineChars="200"/>
        <w:rPr>
          <w:rFonts w:ascii="黑体" w:hAnsi="黑体" w:eastAsia="黑体"/>
        </w:rPr>
      </w:pPr>
      <w:r>
        <w:rPr>
          <w:rFonts w:hint="eastAsia" w:ascii="黑体" w:hAnsi="黑体" w:eastAsia="黑体"/>
        </w:rPr>
        <w:t>一、收入支出决算总体情况说明</w:t>
      </w:r>
    </w:p>
    <w:p w14:paraId="707ACC8D">
      <w:pPr>
        <w:ind w:firstLine="640" w:firstLineChars="200"/>
        <w:rPr>
          <w:rFonts w:ascii="仿宋_GB2312" w:hAnsi="仿宋_GB2312"/>
        </w:rPr>
      </w:pPr>
      <w:r>
        <w:rPr>
          <w:rFonts w:ascii="仿宋_GB2312" w:hAnsi="仿宋_GB2312"/>
        </w:rPr>
        <w:t>2023年度收入总计203.63万元（含使用非财政拨款结余、年初结转和结余）、支出总计203.63万元（含结余分配、年末结转和结余）。与2022年相比，收入减少4.59万元，减少2.20%，主要原因是项目经费收入减少; 与2022年相比，支出减少4.59万元，减少2.20%</w:t>
      </w:r>
      <w:r>
        <w:rPr>
          <w:rFonts w:hint="eastAsia" w:ascii="仿宋_GB2312" w:hAnsi="仿宋_GB2312"/>
        </w:rPr>
        <w:t>；</w:t>
      </w:r>
      <w:r>
        <w:rPr>
          <w:rFonts w:ascii="仿宋_GB2312" w:hAnsi="仿宋_GB2312"/>
        </w:rPr>
        <w:t>主要原因是项目经费收入减少</w:t>
      </w:r>
      <w:r>
        <w:rPr>
          <w:rFonts w:hint="eastAsia" w:ascii="仿宋_GB2312" w:hAnsi="仿宋_GB2312"/>
        </w:rPr>
        <w:t>。</w:t>
      </w:r>
    </w:p>
    <w:p w14:paraId="5905B6C2">
      <w:pPr>
        <w:ind w:firstLine="640" w:firstLineChars="200"/>
        <w:rPr>
          <w:rFonts w:ascii="黑体" w:hAnsi="仿宋" w:eastAsia="黑体"/>
        </w:rPr>
      </w:pPr>
      <w:r>
        <w:rPr>
          <w:rFonts w:hint="eastAsia" w:ascii="黑体" w:hAnsi="黑体" w:eastAsia="黑体"/>
        </w:rPr>
        <w:t>二、收入决算情况说明</w:t>
      </w:r>
    </w:p>
    <w:p w14:paraId="4AB2B8A0">
      <w:pPr>
        <w:ind w:firstLine="640" w:firstLineChars="200"/>
        <w:rPr>
          <w:rFonts w:ascii="仿宋_GB2312" w:hAnsi="仿宋_GB2312"/>
        </w:rPr>
      </w:pPr>
      <w:r>
        <w:rPr>
          <w:rFonts w:ascii="仿宋_GB2312" w:hAnsi="仿宋_GB2312"/>
        </w:rPr>
        <w:t>2023年度收入合计203.63万元，其中：财政拨款收入203.63万元，占100%；事业收入0万元，占0%；经营收入0万元，占0%；其他收入0万元，占0%</w:t>
      </w:r>
      <w:r>
        <w:rPr>
          <w:rFonts w:hint="eastAsia" w:ascii="仿宋_GB2312" w:hAnsi="仿宋_GB2312"/>
        </w:rPr>
        <w:t>。</w:t>
      </w:r>
    </w:p>
    <w:p w14:paraId="27364FD0">
      <w:pPr>
        <w:ind w:firstLine="640" w:firstLineChars="200"/>
        <w:rPr>
          <w:rFonts w:ascii="黑体" w:hAnsi="仿宋" w:eastAsia="黑体"/>
        </w:rPr>
      </w:pPr>
      <w:r>
        <w:rPr>
          <w:rFonts w:hint="eastAsia" w:ascii="黑体" w:hAnsi="黑体" w:eastAsia="黑体"/>
        </w:rPr>
        <w:t>三、支出决算情况说明</w:t>
      </w:r>
    </w:p>
    <w:p w14:paraId="6C2E2407">
      <w:pPr>
        <w:ind w:firstLine="640" w:firstLineChars="200"/>
        <w:rPr>
          <w:rFonts w:ascii="仿宋_GB2312" w:hAnsi="仿宋"/>
        </w:rPr>
      </w:pPr>
      <w:r>
        <w:rPr>
          <w:rFonts w:ascii="仿宋_GB2312" w:hAnsi="仿宋_GB2312"/>
        </w:rPr>
        <w:t>2023年度支出合计203.63万元，其中：基本支出161.93万元，占79.52%；项目支出41.7万元，占20.48%；经营支出0万元，占0%</w:t>
      </w:r>
      <w:r>
        <w:rPr>
          <w:rFonts w:hint="eastAsia" w:ascii="仿宋_GB2312" w:hAnsi="仿宋_GB2312"/>
        </w:rPr>
        <w:t>。</w:t>
      </w:r>
    </w:p>
    <w:p w14:paraId="5038AA39">
      <w:pPr>
        <w:ind w:firstLine="640" w:firstLineChars="200"/>
        <w:rPr>
          <w:rFonts w:ascii="黑体" w:hAnsi="黑体" w:eastAsia="黑体"/>
          <w:bCs/>
        </w:rPr>
      </w:pPr>
      <w:r>
        <w:rPr>
          <w:rFonts w:hint="eastAsia" w:ascii="黑体" w:hAnsi="黑体" w:eastAsia="黑体"/>
          <w:bCs/>
        </w:rPr>
        <w:t>四、财政拨款收入支出决算总体情况说明</w:t>
      </w:r>
    </w:p>
    <w:p w14:paraId="1EFD6571">
      <w:pPr>
        <w:ind w:firstLine="640" w:firstLineChars="200"/>
        <w:rPr>
          <w:rFonts w:ascii="仿宋_GB2312" w:hAnsi="仿宋"/>
        </w:rPr>
      </w:pPr>
      <w:r>
        <w:rPr>
          <w:rFonts w:ascii="仿宋_GB2312" w:hAnsi="仿宋_GB2312"/>
          <w:bCs/>
        </w:rPr>
        <w:t>2023年度财政拨款收入总计203.63万元（含年初财政拨款结转和结余），支出总计203.63万元（含年末财政拨款结转和结余）。与2022年相比，财政拨款收入减少4.59万元，减少2.20%，主要原因是项目经费收入减少; 与2022年相比，财政拨款支出减少4.59万元，减少2.20%，主要原因是项目经费收入减少</w:t>
      </w:r>
      <w:r>
        <w:rPr>
          <w:rFonts w:hint="eastAsia" w:ascii="仿宋_GB2312" w:hAnsi="仿宋_GB2312"/>
          <w:bCs/>
        </w:rPr>
        <w:t>。</w:t>
      </w:r>
    </w:p>
    <w:p w14:paraId="088DF94E">
      <w:pPr>
        <w:ind w:firstLine="640" w:firstLineChars="200"/>
        <w:rPr>
          <w:rFonts w:ascii="黑体" w:hAnsi="仿宋" w:eastAsia="黑体"/>
        </w:rPr>
      </w:pPr>
      <w:r>
        <w:rPr>
          <w:rFonts w:hint="eastAsia" w:ascii="黑体" w:hAnsi="黑体" w:eastAsia="黑体"/>
        </w:rPr>
        <w:t>五、一般公共预算财政拨款支出决算情况说明</w:t>
      </w:r>
    </w:p>
    <w:p w14:paraId="5C390EA3">
      <w:pPr>
        <w:ind w:firstLine="643" w:firstLineChars="200"/>
        <w:rPr>
          <w:rFonts w:ascii="仿宋_GB2312" w:hAnsi="仿宋"/>
          <w:b/>
          <w:bCs/>
        </w:rPr>
      </w:pPr>
      <w:r>
        <w:rPr>
          <w:rFonts w:hint="eastAsia" w:ascii="宋体" w:hAnsi="宋体" w:eastAsia="宋体" w:cs="宋体"/>
          <w:b/>
          <w:bCs/>
        </w:rPr>
        <w:t>（一）一般公共预算财政拨款支出决算总体情况。</w:t>
      </w:r>
    </w:p>
    <w:p w14:paraId="641DA721">
      <w:pPr>
        <w:ind w:firstLine="640" w:firstLineChars="200"/>
        <w:rPr>
          <w:rFonts w:ascii="宋体" w:hAnsi="宋体" w:eastAsia="宋体" w:cs="宋体"/>
        </w:rPr>
      </w:pPr>
      <w:r>
        <w:rPr>
          <w:rFonts w:ascii="仿宋_GB2312" w:hAnsi="仿宋_GB2312"/>
        </w:rPr>
        <w:t>2023年度一般公共预算财政拨款支出203.63万元，占本年支出的100%。与2022年相比，一般公共预算财政拨款支出减少4.59万元，下降2.20%，主要原因是项目经费收入减少</w:t>
      </w:r>
      <w:r>
        <w:rPr>
          <w:rFonts w:hint="eastAsia" w:ascii="宋体" w:hAnsi="宋体" w:eastAsia="宋体" w:cs="宋体"/>
        </w:rPr>
        <w:t>。</w:t>
      </w:r>
    </w:p>
    <w:p w14:paraId="3F236AED">
      <w:pPr>
        <w:ind w:firstLine="643" w:firstLineChars="200"/>
        <w:rPr>
          <w:rFonts w:ascii="仿宋_GB2312" w:hAnsi="仿宋"/>
          <w:b/>
        </w:rPr>
      </w:pPr>
      <w:r>
        <w:rPr>
          <w:rFonts w:hint="eastAsia" w:ascii="宋体" w:hAnsi="宋体" w:eastAsia="宋体" w:cs="宋体"/>
          <w:b/>
        </w:rPr>
        <w:t>（二）一般公共预算财政拨款支出决算结构情况。</w:t>
      </w:r>
    </w:p>
    <w:p w14:paraId="40DA990E">
      <w:pPr>
        <w:ind w:firstLine="640" w:firstLineChars="200"/>
        <w:rPr>
          <w:rFonts w:ascii="仿宋_GB2312" w:hAnsi="仿宋_GB2312"/>
        </w:rPr>
      </w:pPr>
      <w:r>
        <w:rPr>
          <w:rFonts w:ascii="仿宋_GB2312" w:hAnsi="仿宋_GB2312"/>
        </w:rPr>
        <w:t>2023年度一般公共预算财政拨款支出203.63万元，主要用于以下方面：</w:t>
      </w:r>
      <w:r>
        <w:rPr>
          <w:rFonts w:hint="eastAsia" w:ascii="宋体" w:hAnsi="宋体" w:eastAsia="宋体" w:cs="宋体"/>
          <w:b/>
        </w:rPr>
        <w:t>社会保障和就业（类）</w:t>
      </w:r>
      <w:r>
        <w:rPr>
          <w:rFonts w:ascii="仿宋_GB2312" w:hAnsi="仿宋_GB2312"/>
        </w:rPr>
        <w:t>支出50.77万元，占24.93%；</w:t>
      </w:r>
      <w:r>
        <w:rPr>
          <w:rFonts w:hint="eastAsia" w:ascii="宋体" w:hAnsi="宋体" w:eastAsia="宋体" w:cs="宋体"/>
          <w:b/>
        </w:rPr>
        <w:t>农林水（类）</w:t>
      </w:r>
      <w:r>
        <w:rPr>
          <w:rFonts w:ascii="仿宋_GB2312" w:hAnsi="仿宋_GB2312"/>
        </w:rPr>
        <w:t>支出129.33万元，占63.51%；</w:t>
      </w:r>
      <w:r>
        <w:rPr>
          <w:rFonts w:hint="eastAsia" w:ascii="宋体" w:hAnsi="宋体" w:eastAsia="宋体" w:cs="宋体"/>
          <w:b/>
        </w:rPr>
        <w:t>住房保障（类）</w:t>
      </w:r>
      <w:r>
        <w:rPr>
          <w:rFonts w:ascii="仿宋_GB2312" w:hAnsi="仿宋_GB2312"/>
        </w:rPr>
        <w:t>支出17.44万元，占8.56%；</w:t>
      </w:r>
      <w:r>
        <w:rPr>
          <w:rFonts w:hint="eastAsia" w:ascii="宋体" w:hAnsi="宋体" w:eastAsia="宋体" w:cs="宋体"/>
          <w:b/>
        </w:rPr>
        <w:t>卫生健康（类）</w:t>
      </w:r>
      <w:r>
        <w:rPr>
          <w:rFonts w:ascii="仿宋_GB2312" w:hAnsi="仿宋_GB2312"/>
        </w:rPr>
        <w:t>支出6.09万元，占3%</w:t>
      </w:r>
      <w:r>
        <w:rPr>
          <w:rFonts w:hint="eastAsia" w:ascii="仿宋_GB2312" w:hAnsi="仿宋_GB2312"/>
        </w:rPr>
        <w:t>。</w:t>
      </w:r>
    </w:p>
    <w:p w14:paraId="36693E01">
      <w:pPr>
        <w:ind w:firstLine="643" w:firstLineChars="200"/>
        <w:rPr>
          <w:rFonts w:ascii="仿宋_GB2312" w:hAnsi="仿宋"/>
          <w:b/>
          <w:bCs/>
        </w:rPr>
      </w:pPr>
      <w:r>
        <w:rPr>
          <w:rFonts w:hint="eastAsia" w:ascii="宋体" w:hAnsi="宋体" w:eastAsia="宋体" w:cs="宋体"/>
          <w:b/>
          <w:bCs/>
        </w:rPr>
        <w:t>（三）一般公共预算财政拨款支出决算具体情况。</w:t>
      </w:r>
    </w:p>
    <w:p w14:paraId="4473B61A">
      <w:pPr>
        <w:ind w:firstLine="640" w:firstLineChars="200"/>
        <w:rPr>
          <w:rFonts w:ascii="仿宋_GB2312" w:hAnsi="仿宋"/>
        </w:rPr>
      </w:pPr>
      <w:r>
        <w:rPr>
          <w:rFonts w:ascii="仿宋_GB2312" w:hAnsi="仿宋_GB2312"/>
        </w:rPr>
        <w:t>2023年度一般公共预算财政拨款支出年初预算为132.57万元，支出决算为203.63万元，完成年初预算的153.60%。决算数大于预算数的主要原因:一是人员经费收入增加；二是项目经费收入增加。其中:基本支出161.93万元，占79.52%；项目支出41.70万元，占20.48%。具体情况如下</w:t>
      </w:r>
      <w:r>
        <w:rPr>
          <w:rFonts w:hint="eastAsia" w:ascii="宋体" w:hAnsi="宋体" w:eastAsia="宋体" w:cs="宋体"/>
        </w:rPr>
        <w:t>：</w:t>
      </w:r>
    </w:p>
    <w:p w14:paraId="70E8CF24">
      <w:pPr>
        <w:ind w:firstLine="643" w:firstLineChars="200"/>
        <w:rPr>
          <w:rFonts w:ascii="仿宋_GB2312" w:hAnsi="仿宋"/>
        </w:rPr>
      </w:pPr>
      <w:r>
        <w:rPr>
          <w:rFonts w:hint="eastAsia" w:ascii="宋体" w:hAnsi="宋体" w:eastAsia="宋体" w:cs="宋体"/>
          <w:b/>
          <w:bCs/>
          <w:lang w:val="en-US" w:eastAsia="zh-CN"/>
        </w:rPr>
        <w:t>1、</w:t>
      </w:r>
      <w:r>
        <w:rPr>
          <w:rFonts w:hint="eastAsia" w:ascii="宋体" w:hAnsi="宋体" w:eastAsia="宋体" w:cs="宋体"/>
          <w:b/>
          <w:bCs/>
        </w:rPr>
        <w:t>社会保障和就业（类）行政事业单位养老支出（款）事业单位离退休（项）。</w:t>
      </w:r>
      <w:r>
        <w:rPr>
          <w:rFonts w:ascii="仿宋_GB2312" w:hAnsi="仿宋_GB2312"/>
        </w:rPr>
        <w:t>年初预算为13.11万元，支出决算为14.13万元，完成年初预算的107.78%，决算数大于预算数的主要原因是清算2021年至2023年退休人员提组补贴</w:t>
      </w:r>
      <w:r>
        <w:rPr>
          <w:rFonts w:hint="eastAsia" w:ascii="宋体" w:hAnsi="宋体" w:eastAsia="宋体" w:cs="宋体"/>
        </w:rPr>
        <w:t>。</w:t>
      </w:r>
    </w:p>
    <w:p w14:paraId="2C8B3641">
      <w:pPr>
        <w:ind w:firstLine="643" w:firstLineChars="200"/>
      </w:pPr>
      <w:r>
        <w:rPr>
          <w:rFonts w:hint="eastAsia" w:ascii="宋体" w:hAnsi="宋体" w:eastAsia="宋体" w:cs="宋体"/>
          <w:b/>
          <w:bCs/>
          <w:lang w:val="en-US" w:eastAsia="zh-CN"/>
        </w:rPr>
        <w:t>2、</w:t>
      </w:r>
      <w:r>
        <w:rPr>
          <w:rFonts w:hint="eastAsia" w:ascii="宋体" w:hAnsi="宋体" w:eastAsia="宋体" w:cs="宋体"/>
          <w:b/>
          <w:bCs/>
        </w:rPr>
        <w:t>社会保障和就业（类）行政事业单位养老支出（款）机关事业单位基本养老保险缴费支出（项）。</w:t>
      </w:r>
      <w:r>
        <w:rPr>
          <w:rFonts w:ascii="仿宋_GB2312" w:hAnsi="仿宋_GB2312"/>
        </w:rPr>
        <w:t>年初预算为10.19万元，支出决算为10.66万元，完成年初预算的104.61%，决算数大于预算数的主要原因是2023年养老基数调整，缴费增加</w:t>
      </w:r>
      <w:r>
        <w:rPr>
          <w:rFonts w:hint="eastAsia" w:ascii="宋体" w:hAnsi="宋体" w:eastAsia="宋体" w:cs="宋体"/>
        </w:rPr>
        <w:t>。</w:t>
      </w:r>
    </w:p>
    <w:p w14:paraId="6DFB4A38">
      <w:pPr>
        <w:ind w:firstLine="643" w:firstLineChars="200"/>
        <w:rPr>
          <w:rFonts w:ascii="仿宋_GB2312" w:hAnsi="仿宋"/>
        </w:rPr>
      </w:pPr>
      <w:r>
        <w:rPr>
          <w:rFonts w:hint="eastAsia" w:ascii="宋体" w:hAnsi="宋体" w:eastAsia="宋体" w:cs="宋体"/>
          <w:b/>
          <w:bCs/>
          <w:lang w:val="en-US" w:eastAsia="zh-CN"/>
        </w:rPr>
        <w:t>3、</w:t>
      </w:r>
      <w:r>
        <w:rPr>
          <w:rFonts w:hint="eastAsia" w:ascii="宋体" w:hAnsi="宋体" w:eastAsia="宋体" w:cs="宋体"/>
          <w:b/>
          <w:bCs/>
        </w:rPr>
        <w:t>社会保障和就业（类）行政事业单位养老支出（款）机关事业单位职业年金缴费支出（项）。</w:t>
      </w:r>
      <w:r>
        <w:rPr>
          <w:rFonts w:ascii="仿宋_GB2312" w:hAnsi="仿宋_GB2312"/>
        </w:rPr>
        <w:t>年初预算为5.09万元，支出决算为25.65万元，完成年初预算的503.92%，决算数大于预算数的主要原因是2023年职业年金基数调整，缴费增加，清算职业年金</w:t>
      </w:r>
      <w:r>
        <w:rPr>
          <w:rFonts w:hint="eastAsia" w:ascii="宋体" w:hAnsi="宋体" w:eastAsia="宋体" w:cs="宋体"/>
        </w:rPr>
        <w:t>。</w:t>
      </w:r>
    </w:p>
    <w:p w14:paraId="5A904257">
      <w:pPr>
        <w:ind w:firstLine="643" w:firstLineChars="200"/>
        <w:rPr>
          <w:rFonts w:ascii="仿宋_GB2312" w:hAnsi="仿宋"/>
        </w:rPr>
      </w:pPr>
      <w:r>
        <w:rPr>
          <w:rFonts w:hint="eastAsia" w:ascii="宋体" w:hAnsi="宋体" w:eastAsia="宋体" w:cs="宋体"/>
          <w:b/>
          <w:bCs/>
          <w:lang w:val="en-US" w:eastAsia="zh-CN"/>
        </w:rPr>
        <w:t>4、</w:t>
      </w:r>
      <w:r>
        <w:rPr>
          <w:rFonts w:hint="eastAsia" w:ascii="宋体" w:hAnsi="宋体" w:eastAsia="宋体" w:cs="宋体"/>
          <w:b/>
          <w:bCs/>
        </w:rPr>
        <w:t>社会保障和就业（类）其他社会保障和就业支出（款）其他社会保障和就业支出（项）。</w:t>
      </w:r>
      <w:r>
        <w:rPr>
          <w:rFonts w:ascii="仿宋_GB2312" w:hAnsi="仿宋_GB2312"/>
        </w:rPr>
        <w:t>年初预算为0.33万元，支出决算为0.33万元，完成年初预算的100%，</w:t>
      </w:r>
      <w:r>
        <w:rPr>
          <w:rFonts w:hint="eastAsia" w:ascii="宋体" w:hAnsi="宋体" w:eastAsia="宋体" w:cs="宋体"/>
        </w:rPr>
        <w:t>。</w:t>
      </w:r>
    </w:p>
    <w:p w14:paraId="000C2B9C">
      <w:pPr>
        <w:ind w:firstLine="643" w:firstLineChars="200"/>
        <w:rPr>
          <w:rFonts w:ascii="仿宋_GB2312" w:hAnsi="仿宋"/>
        </w:rPr>
      </w:pPr>
      <w:r>
        <w:rPr>
          <w:rFonts w:hint="eastAsia" w:ascii="宋体" w:hAnsi="宋体" w:eastAsia="宋体" w:cs="宋体"/>
          <w:b/>
          <w:bCs/>
          <w:lang w:val="en-US" w:eastAsia="zh-CN"/>
        </w:rPr>
        <w:t>5、</w:t>
      </w:r>
      <w:r>
        <w:rPr>
          <w:rFonts w:hint="eastAsia" w:ascii="宋体" w:hAnsi="宋体" w:eastAsia="宋体" w:cs="宋体"/>
          <w:b/>
        </w:rPr>
        <w:t>卫生健康（类）行政事业单位医疗（款）事业单位医疗（项）</w:t>
      </w:r>
      <w:r>
        <w:rPr>
          <w:rFonts w:ascii="仿宋_GB2312" w:hAnsi="仿宋_GB2312"/>
        </w:rPr>
        <w:t>。年初预算为3.91万元，支出决算为3.91万元，完成年初预算的100%</w:t>
      </w:r>
      <w:r>
        <w:rPr>
          <w:rFonts w:hint="eastAsia" w:ascii="宋体" w:hAnsi="宋体" w:eastAsia="宋体" w:cs="宋体"/>
        </w:rPr>
        <w:t>。</w:t>
      </w:r>
    </w:p>
    <w:p w14:paraId="3F17B688">
      <w:pPr>
        <w:ind w:firstLine="643" w:firstLineChars="200"/>
        <w:rPr>
          <w:rFonts w:ascii="仿宋_GB2312" w:hAnsi="仿宋"/>
        </w:rPr>
      </w:pPr>
      <w:r>
        <w:rPr>
          <w:rFonts w:hint="eastAsia" w:ascii="宋体" w:hAnsi="宋体" w:eastAsia="宋体" w:cs="宋体"/>
          <w:b/>
          <w:bCs/>
          <w:lang w:val="en-US" w:eastAsia="zh-CN"/>
        </w:rPr>
        <w:t>6、</w:t>
      </w:r>
      <w:r>
        <w:rPr>
          <w:rFonts w:hint="eastAsia" w:ascii="宋体" w:hAnsi="宋体" w:eastAsia="宋体" w:cs="宋体"/>
          <w:b/>
        </w:rPr>
        <w:t>卫生健康（类）行政事业单位医疗（款）公务员医疗补助（项）</w:t>
      </w:r>
      <w:r>
        <w:rPr>
          <w:rFonts w:ascii="仿宋_GB2312" w:hAnsi="仿宋_GB2312"/>
        </w:rPr>
        <w:t>。年初预算为2.18万元，支出决算为2.18万元，完成年初预算的100%</w:t>
      </w:r>
      <w:r>
        <w:rPr>
          <w:rFonts w:hint="eastAsia" w:ascii="宋体" w:hAnsi="宋体" w:eastAsia="宋体" w:cs="宋体"/>
        </w:rPr>
        <w:t>。</w:t>
      </w:r>
    </w:p>
    <w:p w14:paraId="7AE0BA91">
      <w:pPr>
        <w:ind w:firstLine="643" w:firstLineChars="200"/>
        <w:rPr>
          <w:rFonts w:ascii="仿宋_GB2312" w:hAnsi="仿宋"/>
        </w:rPr>
      </w:pPr>
      <w:r>
        <w:rPr>
          <w:rFonts w:hint="eastAsia" w:ascii="宋体" w:hAnsi="宋体" w:eastAsia="宋体" w:cs="宋体"/>
          <w:b/>
          <w:bCs/>
          <w:lang w:val="en-US" w:eastAsia="zh-CN"/>
        </w:rPr>
        <w:t>7、</w:t>
      </w:r>
      <w:r>
        <w:rPr>
          <w:rFonts w:hint="eastAsia" w:ascii="宋体" w:hAnsi="宋体" w:eastAsia="宋体" w:cs="宋体"/>
          <w:b/>
        </w:rPr>
        <w:t>农林水（类）农业（款）事业运行（项）。</w:t>
      </w:r>
      <w:r>
        <w:rPr>
          <w:rFonts w:ascii="仿宋_GB2312" w:hAnsi="仿宋_GB2312"/>
        </w:rPr>
        <w:t>年初预算为83.04万元，支出决算为129.33万元，完成年初预算的148.71%，决算数大于预算数的主要原因是年中在职人员发放目标绩效奖、赛马奖奖金</w:t>
      </w:r>
      <w:r>
        <w:rPr>
          <w:rFonts w:hint="eastAsia" w:ascii="宋体" w:hAnsi="宋体" w:eastAsia="宋体" w:cs="宋体"/>
        </w:rPr>
        <w:t>。</w:t>
      </w:r>
    </w:p>
    <w:p w14:paraId="1E99BED7">
      <w:pPr>
        <w:ind w:firstLine="643" w:firstLineChars="200"/>
        <w:rPr>
          <w:rFonts w:ascii="仿宋_GB2312" w:hAnsi="仿宋"/>
        </w:rPr>
      </w:pPr>
      <w:r>
        <w:rPr>
          <w:rFonts w:hint="eastAsia" w:ascii="宋体" w:hAnsi="宋体" w:eastAsia="宋体" w:cs="宋体"/>
          <w:b/>
          <w:bCs/>
          <w:lang w:val="en-US" w:eastAsia="zh-CN"/>
        </w:rPr>
        <w:t>8、</w:t>
      </w:r>
      <w:r>
        <w:rPr>
          <w:rFonts w:hint="eastAsia" w:ascii="宋体" w:hAnsi="宋体" w:eastAsia="宋体" w:cs="宋体"/>
          <w:b/>
        </w:rPr>
        <w:t>农林水（类）农业（款）</w:t>
      </w:r>
      <w:r>
        <w:rPr>
          <w:rFonts w:hint="eastAsia" w:ascii="宋体" w:hAnsi="宋体" w:eastAsia="宋体" w:cs="宋体"/>
          <w:b/>
          <w:bCs/>
        </w:rPr>
        <w:t>渔业发展</w:t>
      </w:r>
      <w:r>
        <w:rPr>
          <w:rFonts w:hint="eastAsia" w:ascii="宋体" w:hAnsi="宋体" w:eastAsia="宋体" w:cs="宋体"/>
          <w:b/>
        </w:rPr>
        <w:t>（项）。</w:t>
      </w:r>
      <w:r>
        <w:rPr>
          <w:rFonts w:ascii="仿宋_GB2312" w:hAnsi="仿宋_GB2312"/>
        </w:rPr>
        <w:t>年初预算为0万元，支出决算为36.7万元，决算数大于预算数的主要原因是年中省农业农村厅下达项目经费</w:t>
      </w:r>
      <w:r>
        <w:rPr>
          <w:rFonts w:hint="eastAsia" w:ascii="宋体" w:hAnsi="宋体" w:eastAsia="宋体" w:cs="宋体"/>
        </w:rPr>
        <w:t>。</w:t>
      </w:r>
    </w:p>
    <w:p w14:paraId="5B0C687E">
      <w:pPr>
        <w:ind w:firstLine="643" w:firstLineChars="200"/>
        <w:rPr>
          <w:rFonts w:ascii="仿宋_GB2312" w:hAnsi="仿宋"/>
        </w:rPr>
      </w:pPr>
      <w:r>
        <w:rPr>
          <w:rFonts w:hint="eastAsia" w:ascii="仿宋_GB2312" w:hAnsi="仿宋_GB2312"/>
          <w:b/>
          <w:bCs/>
          <w:lang w:val="en-US" w:eastAsia="zh-CN"/>
        </w:rPr>
        <w:t>9、</w:t>
      </w:r>
      <w:r>
        <w:rPr>
          <w:rFonts w:ascii="仿宋_GB2312" w:hAnsi="仿宋_GB2312"/>
          <w:b/>
        </w:rPr>
        <w:t>住房保障（类）住房改革支出（款）住房公积金（项）。</w:t>
      </w:r>
      <w:r>
        <w:rPr>
          <w:rFonts w:hint="eastAsia" w:ascii="仿宋_GB2312" w:hAnsi="仿宋_GB2312"/>
        </w:rPr>
        <w:t>年初预算为</w:t>
      </w:r>
      <w:r>
        <w:rPr>
          <w:rFonts w:ascii="仿宋_GB2312" w:hAnsi="仿宋_GB2312"/>
        </w:rPr>
        <w:t>10.40</w:t>
      </w:r>
      <w:r>
        <w:rPr>
          <w:rFonts w:hint="eastAsia" w:ascii="仿宋_GB2312" w:hAnsi="仿宋_GB2312"/>
        </w:rPr>
        <w:t>万元，支出决算为</w:t>
      </w:r>
      <w:r>
        <w:rPr>
          <w:rFonts w:ascii="仿宋_GB2312" w:hAnsi="仿宋_GB2312"/>
        </w:rPr>
        <w:t>10.40</w:t>
      </w:r>
      <w:r>
        <w:rPr>
          <w:rFonts w:hint="eastAsia" w:ascii="仿宋_GB2312" w:hAnsi="仿宋_GB2312"/>
        </w:rPr>
        <w:t>万元，完成年初预算的</w:t>
      </w:r>
      <w:r>
        <w:rPr>
          <w:rFonts w:ascii="仿宋_GB2312" w:hAnsi="仿宋_GB2312"/>
        </w:rPr>
        <w:t>100%</w:t>
      </w:r>
      <w:r>
        <w:rPr>
          <w:rFonts w:hint="eastAsia" w:ascii="仿宋_GB2312" w:hAnsi="仿宋_GB2312"/>
        </w:rPr>
        <w:t>。</w:t>
      </w:r>
    </w:p>
    <w:p w14:paraId="21F282FC">
      <w:pPr>
        <w:ind w:firstLine="643" w:firstLineChars="200"/>
        <w:rPr>
          <w:rFonts w:ascii="仿宋_GB2312" w:hAnsi="仿宋_GB2312"/>
        </w:rPr>
      </w:pPr>
      <w:r>
        <w:rPr>
          <w:rFonts w:hint="eastAsia" w:ascii="仿宋_GB2312" w:hAnsi="仿宋_GB2312"/>
          <w:b/>
          <w:bCs/>
          <w:lang w:val="en-US" w:eastAsia="zh-CN"/>
        </w:rPr>
        <w:t>10、</w:t>
      </w:r>
      <w:r>
        <w:rPr>
          <w:rFonts w:ascii="仿宋_GB2312" w:hAnsi="仿宋_GB2312"/>
          <w:b/>
        </w:rPr>
        <w:t>住房保障（类）住房改革支出（款）提租补贴（项）。</w:t>
      </w:r>
      <w:r>
        <w:rPr>
          <w:rFonts w:hint="eastAsia" w:ascii="仿宋_GB2312" w:hAnsi="仿宋_GB2312"/>
        </w:rPr>
        <w:t>年初预算为0万元，支出决算为2.71万元，决算数大于预算数的主要原因是清算2021年至2023年在职人员提组补贴。</w:t>
      </w:r>
    </w:p>
    <w:p w14:paraId="3CDAAF1F">
      <w:pPr>
        <w:ind w:firstLine="643" w:firstLineChars="200"/>
        <w:rPr>
          <w:rFonts w:ascii="仿宋_GB2312" w:hAnsi="仿宋_GB2312"/>
        </w:rPr>
      </w:pPr>
      <w:r>
        <w:rPr>
          <w:rFonts w:hint="eastAsia" w:ascii="仿宋_GB2312" w:hAnsi="仿宋_GB2312"/>
          <w:b/>
          <w:bCs/>
          <w:lang w:val="en-US" w:eastAsia="zh-CN"/>
        </w:rPr>
        <w:t>11、</w:t>
      </w:r>
      <w:r>
        <w:rPr>
          <w:rFonts w:ascii="仿宋_GB2312" w:hAnsi="仿宋_GB2312"/>
          <w:b/>
        </w:rPr>
        <w:t>住房保障（类）住房改革支出（款）购房补贴（项）。</w:t>
      </w:r>
      <w:r>
        <w:rPr>
          <w:rFonts w:hint="eastAsia" w:ascii="仿宋_GB2312" w:hAnsi="仿宋_GB2312"/>
        </w:rPr>
        <w:t>年初预算为4.33万元，支出决算为4.33万元，完成年初预算的100%。</w:t>
      </w:r>
    </w:p>
    <w:p w14:paraId="2E9B6431">
      <w:pPr>
        <w:ind w:firstLine="640" w:firstLineChars="200"/>
        <w:rPr>
          <w:rFonts w:ascii="黑体" w:hAnsi="仿宋" w:eastAsia="黑体"/>
        </w:rPr>
      </w:pPr>
      <w:r>
        <w:rPr>
          <w:rFonts w:hint="eastAsia" w:ascii="黑体" w:hAnsi="黑体" w:eastAsia="黑体"/>
        </w:rPr>
        <w:t>六、一般公共预算财政拨款基本支出决算情况说明</w:t>
      </w:r>
    </w:p>
    <w:p w14:paraId="5C7521A6">
      <w:pPr>
        <w:ind w:firstLine="640" w:firstLineChars="200"/>
        <w:rPr>
          <w:rFonts w:ascii="仿宋_GB2312" w:hAnsi="仿宋_GB2312"/>
        </w:rPr>
      </w:pPr>
      <w:r>
        <w:rPr>
          <w:rFonts w:hint="eastAsia" w:ascii="仿宋_GB2312" w:hAnsi="仿宋_GB2312"/>
        </w:rPr>
        <w:t>2023年度财政拨款基本支出161.93万元，其中：人员经费156.57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奖励金、代缴社会保险费、其他对个人和家庭的补助支出；公用经费5.36万元，主要包括：办公费、印刷费、咨询费、手续费、水费、电费、邮电费、物业管理费、差旅费、租赁费、会议费、培训费、公务接待费、专用材料费、专用燃料费、劳务费、委托业务费、工会经费、福利费、公务用车运行维护费、税金及附加费用、其他商品和服务支出、办公设备购置、专用设备购置等。</w:t>
      </w:r>
    </w:p>
    <w:p w14:paraId="79E72C83">
      <w:pPr>
        <w:ind w:firstLine="640" w:firstLineChars="200"/>
        <w:rPr>
          <w:rFonts w:ascii="黑体" w:hAnsi="黑体" w:eastAsia="黑体"/>
        </w:rPr>
      </w:pPr>
      <w:r>
        <w:rPr>
          <w:rFonts w:hint="eastAsia" w:ascii="黑体" w:hAnsi="黑体" w:eastAsia="黑体"/>
        </w:rPr>
        <w:t>七、政府性基金预算财政拨款收入支出决算情况说明</w:t>
      </w:r>
    </w:p>
    <w:p w14:paraId="57211CA2">
      <w:pPr>
        <w:ind w:firstLine="640" w:firstLineChars="200"/>
      </w:pPr>
      <w:r>
        <w:rPr>
          <w:rFonts w:hint="eastAsia" w:ascii="仿宋_GB2312" w:hAnsi="仿宋_GB2312"/>
        </w:rPr>
        <w:t>淮北市水产技术中心2023年度没有政府性基金预算收入，也没有使用政府性基金预算安排的支出。</w:t>
      </w:r>
    </w:p>
    <w:p w14:paraId="37117B48">
      <w:pPr>
        <w:ind w:firstLine="640" w:firstLineChars="200"/>
        <w:rPr>
          <w:rFonts w:ascii="黑体" w:hAnsi="黑体" w:eastAsia="黑体"/>
        </w:rPr>
      </w:pPr>
      <w:r>
        <w:rPr>
          <w:rFonts w:hint="eastAsia" w:ascii="黑体" w:hAnsi="黑体" w:eastAsia="黑体"/>
        </w:rPr>
        <w:t>八、国有资本经营预算财政拨款支出情况说明</w:t>
      </w:r>
    </w:p>
    <w:p w14:paraId="5877879D">
      <w:pPr>
        <w:ind w:firstLine="640" w:firstLineChars="200"/>
        <w:rPr>
          <w:rFonts w:ascii="仿宋_GB2312" w:hAnsi="仿宋_GB2312"/>
        </w:rPr>
      </w:pPr>
      <w:r>
        <w:rPr>
          <w:rFonts w:hint="eastAsia" w:ascii="仿宋_GB2312" w:hAnsi="仿宋_GB2312"/>
        </w:rPr>
        <w:t>淮北市水产技术中心2023年度没有使用国有资本经营预算财政拨款安排的支出。</w:t>
      </w:r>
    </w:p>
    <w:p w14:paraId="338AD15A">
      <w:pPr>
        <w:adjustRightInd w:val="0"/>
        <w:snapToGrid w:val="0"/>
        <w:spacing w:line="600" w:lineRule="exact"/>
        <w:ind w:firstLine="640" w:firstLineChars="200"/>
        <w:rPr>
          <w:rFonts w:ascii="黑体" w:hAnsi="黑体" w:eastAsia="黑体"/>
        </w:rPr>
      </w:pPr>
      <w:r>
        <w:rPr>
          <w:rFonts w:hint="eastAsia" w:ascii="黑体" w:hAnsi="黑体" w:eastAsia="黑体"/>
        </w:rPr>
        <w:t>九、其他重要事项情况说明</w:t>
      </w:r>
    </w:p>
    <w:p w14:paraId="35E44580">
      <w:pPr>
        <w:adjustRightInd w:val="0"/>
        <w:snapToGrid w:val="0"/>
        <w:spacing w:line="600" w:lineRule="exact"/>
        <w:ind w:firstLine="643" w:firstLineChars="200"/>
        <w:rPr>
          <w:rFonts w:ascii="仿宋_GB2312" w:hAnsi="楷体"/>
          <w:b/>
        </w:rPr>
      </w:pPr>
      <w:r>
        <w:rPr>
          <w:rFonts w:hint="eastAsia" w:ascii="宋体" w:hAnsi="宋体" w:eastAsia="宋体" w:cs="宋体"/>
          <w:b/>
        </w:rPr>
        <w:t>（一）机关运行经费支出情况。</w:t>
      </w:r>
    </w:p>
    <w:p w14:paraId="366BC31B">
      <w:pPr>
        <w:ind w:firstLine="640" w:firstLineChars="200"/>
        <w:rPr>
          <w:rFonts w:ascii="仿宋_GB2312" w:hAnsi="仿宋_GB2312"/>
        </w:rPr>
      </w:pPr>
      <w:r>
        <w:rPr>
          <w:rFonts w:hint="eastAsia" w:ascii="仿宋_GB2312" w:hAnsi="仿宋_GB2312"/>
        </w:rPr>
        <w:t>淮北市水产技术中心为事业单位，按照财政部门决算机关运行经费的口径，本年度机关运行经费为0</w:t>
      </w:r>
      <w:r>
        <w:rPr>
          <w:rFonts w:hint="eastAsia" w:ascii="仿宋_GB2312" w:hAnsi="仿宋_GB2312"/>
          <w:lang w:eastAsia="zh-CN"/>
        </w:rPr>
        <w:t>万元</w:t>
      </w:r>
      <w:r>
        <w:rPr>
          <w:rFonts w:hint="eastAsia" w:ascii="仿宋_GB2312" w:hAnsi="仿宋_GB2312"/>
        </w:rPr>
        <w:t>。</w:t>
      </w:r>
    </w:p>
    <w:p w14:paraId="65BEE9D1">
      <w:pPr>
        <w:adjustRightInd w:val="0"/>
        <w:snapToGrid w:val="0"/>
        <w:spacing w:line="600" w:lineRule="exact"/>
        <w:ind w:firstLine="643" w:firstLineChars="200"/>
        <w:rPr>
          <w:rFonts w:ascii="仿宋_GB2312" w:hAnsi="楷体"/>
          <w:b/>
        </w:rPr>
      </w:pPr>
      <w:r>
        <w:rPr>
          <w:rFonts w:hint="eastAsia" w:ascii="宋体" w:hAnsi="宋体" w:eastAsia="宋体" w:cs="宋体"/>
          <w:b/>
        </w:rPr>
        <w:t>（二）政府采购支出情况。</w:t>
      </w:r>
    </w:p>
    <w:p w14:paraId="595A2553">
      <w:pPr>
        <w:ind w:firstLine="640" w:firstLineChars="200"/>
        <w:rPr>
          <w:rFonts w:ascii="仿宋_GB2312" w:hAnsi="仿宋_GB2312"/>
        </w:rPr>
      </w:pPr>
      <w:r>
        <w:rPr>
          <w:rFonts w:hint="eastAsia" w:ascii="仿宋_GB2312" w:hAnsi="仿宋_GB2312"/>
        </w:rPr>
        <w:t xml:space="preserve"> 2023年度，淮北市水产技术中心政府采购支出总额0万元，其中：政府采购货物支出0万元、政府采购工程支出0万元、政府采购服务支出0万元。授予中小企业合同金额0万元，占政府采购支出总额的0%，其中：授予小微企业</w:t>
      </w:r>
      <w:r>
        <w:rPr>
          <w:rFonts w:hint="eastAsia" w:ascii="仿宋" w:hAnsi="仿宋" w:eastAsia="仿宋"/>
        </w:rPr>
        <w:t>合</w:t>
      </w:r>
      <w:r>
        <w:rPr>
          <w:rFonts w:hint="eastAsia" w:ascii="仿宋_GB2312" w:hAnsi="仿宋_GB2312"/>
        </w:rPr>
        <w:t>同金额0 万元，占授予中小企业合同金额的0%；货物采购授予中小企业合同金额占货物支出金额的0%，工程采购授予中小企业合同金额占工程支出金额的0%，服务采购授予中小企业合同金额占服务支出金额的0%。</w:t>
      </w:r>
    </w:p>
    <w:p w14:paraId="544ACA9A">
      <w:pPr>
        <w:adjustRightInd w:val="0"/>
        <w:snapToGrid w:val="0"/>
        <w:spacing w:line="600" w:lineRule="exact"/>
        <w:ind w:firstLine="643" w:firstLineChars="200"/>
        <w:rPr>
          <w:rFonts w:ascii="仿宋_GB2312" w:hAnsi="楷体"/>
          <w:b/>
        </w:rPr>
      </w:pPr>
      <w:r>
        <w:rPr>
          <w:rFonts w:hint="eastAsia" w:ascii="宋体" w:hAnsi="宋体" w:eastAsia="宋体" w:cs="宋体"/>
          <w:b/>
        </w:rPr>
        <w:t>（三）国有资产占有使用情况。</w:t>
      </w:r>
    </w:p>
    <w:p w14:paraId="42FE619B">
      <w:pPr>
        <w:adjustRightInd w:val="0"/>
        <w:snapToGrid w:val="0"/>
        <w:spacing w:line="600" w:lineRule="exact"/>
        <w:ind w:firstLine="640" w:firstLineChars="200"/>
        <w:rPr>
          <w:rFonts w:ascii="宋体" w:hAnsi="宋体"/>
          <w:b/>
          <w:sz w:val="36"/>
          <w:szCs w:val="36"/>
        </w:rPr>
      </w:pPr>
      <w:r>
        <w:rPr>
          <w:rFonts w:ascii="仿宋_GB2312" w:hAnsi="仿宋_GB2312"/>
        </w:rPr>
        <w:t>截至2023年12月31日，淮北市水产技术中心没有占用国有资产情况</w:t>
      </w:r>
      <w:r>
        <w:rPr>
          <w:rFonts w:hint="eastAsia" w:ascii="宋体" w:hAnsi="宋体" w:eastAsia="宋体" w:cs="宋体"/>
        </w:rPr>
        <w:t>。</w:t>
      </w:r>
    </w:p>
    <w:p w14:paraId="17B570B0">
      <w:pPr>
        <w:numPr>
          <w:ilvl w:val="0"/>
          <w:numId w:val="1"/>
        </w:numPr>
        <w:adjustRightInd w:val="0"/>
        <w:snapToGrid w:val="0"/>
        <w:spacing w:line="600" w:lineRule="exact"/>
        <w:ind w:firstLine="643" w:firstLineChars="200"/>
        <w:rPr>
          <w:rFonts w:ascii="仿宋_GB2312" w:hAnsi="楷体"/>
          <w:b/>
        </w:rPr>
      </w:pPr>
      <w:r>
        <w:rPr>
          <w:rFonts w:hint="eastAsia" w:ascii="宋体" w:hAnsi="宋体" w:eastAsia="宋体" w:cs="宋体"/>
          <w:b/>
        </w:rPr>
        <w:t>关于</w:t>
      </w:r>
      <w:r>
        <w:rPr>
          <w:rFonts w:ascii="仿宋_GB2312" w:hAnsi="仿宋_GB2312"/>
          <w:b/>
        </w:rPr>
        <w:t>2023</w:t>
      </w:r>
      <w:r>
        <w:rPr>
          <w:rFonts w:hint="eastAsia" w:ascii="宋体" w:hAnsi="宋体" w:eastAsia="宋体" w:cs="宋体"/>
          <w:b/>
        </w:rPr>
        <w:t>年度绩效评价情况的说明</w:t>
      </w:r>
    </w:p>
    <w:p w14:paraId="72DC7BA0">
      <w:pPr>
        <w:autoSpaceDE w:val="0"/>
        <w:spacing w:line="560" w:lineRule="exact"/>
        <w:ind w:firstLine="643" w:firstLineChars="200"/>
        <w:rPr>
          <w:rFonts w:ascii="仿宋" w:hAnsi="仿宋" w:eastAsia="仿宋"/>
        </w:rPr>
      </w:pPr>
      <w:r>
        <w:rPr>
          <w:rFonts w:hint="eastAsia" w:ascii="楷体" w:hAnsi="楷体" w:eastAsia="楷体"/>
          <w:b/>
          <w:bCs/>
        </w:rPr>
        <w:t>（1）绩效评价工作开展情况。</w:t>
      </w:r>
    </w:p>
    <w:p w14:paraId="04069982">
      <w:pPr>
        <w:spacing w:line="560" w:lineRule="exact"/>
        <w:ind w:firstLine="640" w:firstLineChars="200"/>
        <w:rPr>
          <w:rFonts w:ascii="仿宋_GB2312" w:hAnsi="仿宋_GB2312"/>
        </w:rPr>
      </w:pPr>
      <w:r>
        <w:rPr>
          <w:rFonts w:ascii="仿宋_GB2312" w:hAnsi="仿宋_GB2312"/>
        </w:rPr>
        <w:t>根据预算绩效管理要求，我单位对202</w:t>
      </w:r>
      <w:r>
        <w:rPr>
          <w:rFonts w:hint="eastAsia" w:ascii="仿宋_GB2312" w:hAnsi="仿宋_GB2312" w:eastAsiaTheme="minorEastAsia"/>
        </w:rPr>
        <w:t>3</w:t>
      </w:r>
      <w:r>
        <w:rPr>
          <w:rFonts w:ascii="仿宋_GB2312" w:hAnsi="仿宋_GB2312"/>
        </w:rPr>
        <w:t>年度纳入单位预算的项目支出全面开展了绩效自评，共1个项目 (淮北市水产工作专项经费)，涉及资金5万元，达到了预期绩效目标</w:t>
      </w:r>
      <w:r>
        <w:rPr>
          <w:rFonts w:hint="eastAsia" w:ascii="宋体" w:hAnsi="宋体" w:eastAsia="宋体" w:cs="宋体"/>
        </w:rPr>
        <w:t>。</w:t>
      </w:r>
    </w:p>
    <w:p w14:paraId="3B125AD4">
      <w:pPr>
        <w:ind w:firstLine="640" w:firstLineChars="200"/>
      </w:pPr>
      <w:r>
        <w:rPr>
          <w:rFonts w:ascii="仿宋_GB2312" w:hAnsi="仿宋_GB2312"/>
        </w:rPr>
        <w:t>组织对202</w:t>
      </w:r>
      <w:r>
        <w:rPr>
          <w:rFonts w:hint="eastAsia" w:ascii="仿宋_GB2312" w:hAnsi="仿宋_GB2312" w:eastAsiaTheme="minorEastAsia"/>
        </w:rPr>
        <w:t>3</w:t>
      </w:r>
      <w:r>
        <w:rPr>
          <w:rFonts w:ascii="仿宋_GB2312" w:hAnsi="仿宋_GB2312"/>
        </w:rPr>
        <w:t>年度单位整体支出开展了绩效自评。本部门通过自主实施的方式组织对“淮北市水产工作专项经费”等1个项目开展了部门绩效评价，涉及资金5万元。通过加大水产技术推广，调优养殖结构，落实渔业政策，促进渔业生产节本增效，放流水域环境改善促进渔民增收，渔业增效；确保水产品药残抽检合格率97%以上，保障我市水产品质量安全、渔业生产安</w:t>
      </w:r>
      <w:r>
        <w:rPr>
          <w:rFonts w:hint="eastAsia" w:ascii="宋体" w:hAnsi="宋体" w:eastAsia="宋体" w:cs="宋体"/>
        </w:rPr>
        <w:t>全</w:t>
      </w:r>
      <w:r>
        <w:rPr>
          <w:rFonts w:ascii="仿宋_GB2312" w:hAnsi="仿宋_GB2312"/>
        </w:rPr>
        <w:t>。</w:t>
      </w:r>
    </w:p>
    <w:p w14:paraId="7F9F26AA">
      <w:pPr>
        <w:autoSpaceDE w:val="0"/>
        <w:spacing w:line="560" w:lineRule="exact"/>
        <w:ind w:firstLine="643" w:firstLineChars="200"/>
        <w:rPr>
          <w:rFonts w:ascii="仿宋_GB2312" w:hAnsi="仿宋_GB2312"/>
          <w:bCs/>
        </w:rPr>
      </w:pPr>
      <w:r>
        <w:rPr>
          <w:rFonts w:hint="eastAsia" w:ascii="楷体" w:hAnsi="楷体" w:eastAsia="楷体"/>
          <w:b/>
          <w:bCs/>
        </w:rPr>
        <w:t>（2）单位决算中项目绩效自评结果。</w:t>
      </w:r>
    </w:p>
    <w:p w14:paraId="58095AB7">
      <w:pPr>
        <w:ind w:firstLine="640"/>
        <w:rPr>
          <w:rFonts w:ascii="仿宋_GB2312" w:hAnsi="仿宋_GB2312"/>
        </w:rPr>
      </w:pPr>
      <w:r>
        <w:rPr>
          <w:rFonts w:ascii="仿宋_GB2312" w:hAnsi="仿宋_GB2312"/>
        </w:rPr>
        <w:t>淮北市水产技术中心在202</w:t>
      </w:r>
      <w:r>
        <w:rPr>
          <w:rFonts w:hint="eastAsia" w:ascii="仿宋_GB2312" w:hAnsi="仿宋_GB2312"/>
        </w:rPr>
        <w:t>3</w:t>
      </w:r>
      <w:r>
        <w:rPr>
          <w:rFonts w:ascii="仿宋_GB2312" w:hAnsi="仿宋_GB2312"/>
        </w:rPr>
        <w:t>年度部门决算中公开“淮北市水产工作专项经费”1个项目绩效自评结果和项目支出绩效自评表</w:t>
      </w:r>
      <w:r>
        <w:rPr>
          <w:rFonts w:hint="eastAsia" w:ascii="宋体" w:hAnsi="宋体" w:eastAsia="宋体" w:cs="宋体"/>
        </w:rPr>
        <w:t>。</w:t>
      </w:r>
    </w:p>
    <w:p w14:paraId="7951B2A0">
      <w:pPr>
        <w:ind w:firstLine="640"/>
        <w:rPr>
          <w:rFonts w:ascii="仿宋_GB2312" w:hAnsi="仿宋_GB2312"/>
          <w:bCs/>
        </w:rPr>
      </w:pPr>
      <w:r>
        <w:rPr>
          <w:rFonts w:ascii="仿宋_GB2312" w:hAnsi="仿宋_GB2312"/>
        </w:rPr>
        <w:t>淮北市水产工作专项经费</w:t>
      </w:r>
      <w:r>
        <w:rPr>
          <w:rFonts w:ascii="仿宋_GB2312" w:hAnsi="仿宋_GB2312"/>
          <w:bCs/>
        </w:rPr>
        <w:t>绩效自评综述：根据年初设定的绩效目标，</w:t>
      </w:r>
      <w:r>
        <w:rPr>
          <w:rFonts w:ascii="仿宋_GB2312" w:hAnsi="仿宋_GB2312"/>
        </w:rPr>
        <w:t>淮北市水产工作专项经费</w:t>
      </w:r>
      <w:r>
        <w:rPr>
          <w:rFonts w:ascii="仿宋_GB2312" w:hAnsi="仿宋_GB2312"/>
          <w:bCs/>
        </w:rPr>
        <w:t>项目绩效自评得分为100分。项目全年预算数为5万元，执行数为5万元，完成预算的100%。主要产出和效果</w:t>
      </w:r>
      <w:r>
        <w:rPr>
          <w:rFonts w:ascii="仿宋_GB2312" w:hAnsi="仿宋_GB2312"/>
        </w:rPr>
        <w:t>：通过引进、推广水产新品种、新技术，调优养殖结构；通过开展鱼病预报、测报，促进渔业降本增效；通过开展渔业增殖放流，养护渔业资源，净化水域环境。通过水产品送样检测和渔业生产安全管理，确保我市水产品合格率达97%以上，确保我市水产品质量安全和渔业生产安全</w:t>
      </w:r>
      <w:r>
        <w:rPr>
          <w:rFonts w:hint="eastAsia" w:ascii="宋体" w:hAnsi="宋体" w:eastAsia="宋体" w:cs="宋体"/>
        </w:rPr>
        <w:t>。</w:t>
      </w:r>
    </w:p>
    <w:p w14:paraId="1446F55A">
      <w:pPr>
        <w:ind w:firstLine="640" w:firstLineChars="200"/>
        <w:jc w:val="center"/>
        <w:rPr>
          <w:rFonts w:hint="eastAsia" w:ascii="宋体" w:hAnsi="宋体" w:eastAsia="宋体" w:cs="宋体"/>
          <w:b/>
          <w:bCs/>
          <w:color w:val="000000"/>
          <w:kern w:val="0"/>
        </w:rPr>
      </w:pPr>
      <w:r>
        <w:rPr>
          <w:rFonts w:ascii="仿宋_GB2312" w:hAnsi="仿宋_GB2312"/>
        </w:rPr>
        <w:t>淮北市水产工作专项经费项目</w:t>
      </w:r>
      <w:r>
        <w:rPr>
          <w:rFonts w:ascii="仿宋_GB2312" w:hAnsi="仿宋_GB2312"/>
          <w:bCs/>
        </w:rPr>
        <w:t>的《项目支出绩效自评表》</w:t>
      </w:r>
      <w:r>
        <w:rPr>
          <w:rFonts w:hint="eastAsia" w:ascii="宋体" w:hAnsi="宋体" w:eastAsia="宋体" w:cs="宋体"/>
          <w:b/>
          <w:bCs/>
          <w:color w:val="000000"/>
          <w:kern w:val="0"/>
        </w:rPr>
        <w:t>项目支出绩效自评表</w:t>
      </w:r>
    </w:p>
    <w:p w14:paraId="63B8CEEF">
      <w:pPr>
        <w:ind w:firstLine="440" w:firstLineChars="200"/>
        <w:jc w:val="center"/>
        <w:rPr>
          <w:rFonts w:ascii="仿宋_GB2312" w:hAnsi="仿宋_GB2312"/>
          <w:bCs/>
        </w:rPr>
      </w:pPr>
      <w:r>
        <w:rPr>
          <w:rFonts w:hint="eastAsia" w:ascii="宋体" w:hAnsi="宋体" w:eastAsia="宋体" w:cs="宋体"/>
          <w:color w:val="000000"/>
          <w:kern w:val="0"/>
          <w:sz w:val="22"/>
          <w:szCs w:val="22"/>
        </w:rPr>
        <w:t>（2023年度）</w:t>
      </w:r>
    </w:p>
    <w:tbl>
      <w:tblPr>
        <w:tblStyle w:val="6"/>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733"/>
        <w:gridCol w:w="629"/>
        <w:gridCol w:w="2032"/>
        <w:gridCol w:w="650"/>
        <w:gridCol w:w="1430"/>
        <w:gridCol w:w="1364"/>
        <w:gridCol w:w="453"/>
        <w:gridCol w:w="66"/>
        <w:gridCol w:w="676"/>
        <w:gridCol w:w="20"/>
        <w:gridCol w:w="835"/>
        <w:gridCol w:w="701"/>
        <w:gridCol w:w="19"/>
      </w:tblGrid>
      <w:tr w14:paraId="56A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2" w:hRule="atLeast"/>
          <w:jc w:val="center"/>
        </w:trPr>
        <w:tc>
          <w:tcPr>
            <w:tcW w:w="2083" w:type="dxa"/>
            <w:gridSpan w:val="3"/>
            <w:shd w:val="clear" w:color="auto" w:fill="auto"/>
            <w:vAlign w:val="center"/>
          </w:tcPr>
          <w:p w14:paraId="3876B6F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8227" w:type="dxa"/>
            <w:gridSpan w:val="10"/>
            <w:shd w:val="clear" w:color="auto" w:fill="auto"/>
            <w:vAlign w:val="center"/>
          </w:tcPr>
          <w:p w14:paraId="6C83B9A5">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淮北市水产工作专项经费</w:t>
            </w:r>
          </w:p>
        </w:tc>
      </w:tr>
      <w:tr w14:paraId="5BC0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2" w:hRule="atLeast"/>
          <w:jc w:val="center"/>
        </w:trPr>
        <w:tc>
          <w:tcPr>
            <w:tcW w:w="2083" w:type="dxa"/>
            <w:gridSpan w:val="3"/>
            <w:shd w:val="clear" w:color="auto" w:fill="auto"/>
            <w:vAlign w:val="center"/>
          </w:tcPr>
          <w:p w14:paraId="6FCC3A40">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4112" w:type="dxa"/>
            <w:gridSpan w:val="3"/>
            <w:shd w:val="clear" w:color="auto" w:fill="auto"/>
            <w:vAlign w:val="center"/>
          </w:tcPr>
          <w:p w14:paraId="48C2A3B3">
            <w:pPr>
              <w:widowControl/>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淮北市水产工作专项经费</w:t>
            </w:r>
          </w:p>
        </w:tc>
        <w:tc>
          <w:tcPr>
            <w:tcW w:w="1364" w:type="dxa"/>
            <w:shd w:val="clear" w:color="auto" w:fill="auto"/>
            <w:vAlign w:val="center"/>
          </w:tcPr>
          <w:p w14:paraId="47BC070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751" w:type="dxa"/>
            <w:gridSpan w:val="6"/>
            <w:shd w:val="clear" w:color="auto" w:fill="auto"/>
            <w:vAlign w:val="center"/>
          </w:tcPr>
          <w:p w14:paraId="05103F7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淮北市水产技术中心</w:t>
            </w:r>
          </w:p>
        </w:tc>
      </w:tr>
      <w:tr w14:paraId="62E8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40" w:hRule="atLeast"/>
          <w:jc w:val="center"/>
        </w:trPr>
        <w:tc>
          <w:tcPr>
            <w:tcW w:w="2083" w:type="dxa"/>
            <w:gridSpan w:val="3"/>
            <w:vMerge w:val="restart"/>
            <w:shd w:val="clear" w:color="auto" w:fill="auto"/>
            <w:vAlign w:val="center"/>
          </w:tcPr>
          <w:p w14:paraId="00762F5E">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2032" w:type="dxa"/>
            <w:shd w:val="clear" w:color="auto" w:fill="auto"/>
            <w:vAlign w:val="center"/>
          </w:tcPr>
          <w:p w14:paraId="6DF82587">
            <w:pPr>
              <w:widowControl/>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0" w:type="dxa"/>
            <w:shd w:val="clear" w:color="auto" w:fill="auto"/>
            <w:vAlign w:val="center"/>
          </w:tcPr>
          <w:p w14:paraId="3753DCF0">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1430" w:type="dxa"/>
            <w:shd w:val="clear" w:color="auto" w:fill="auto"/>
            <w:vAlign w:val="center"/>
          </w:tcPr>
          <w:p w14:paraId="6E0299A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817" w:type="dxa"/>
            <w:gridSpan w:val="2"/>
            <w:shd w:val="clear" w:color="auto" w:fill="auto"/>
            <w:vAlign w:val="center"/>
          </w:tcPr>
          <w:p w14:paraId="7ECCB2C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742" w:type="dxa"/>
            <w:gridSpan w:val="2"/>
            <w:shd w:val="clear" w:color="auto" w:fill="auto"/>
            <w:vAlign w:val="center"/>
          </w:tcPr>
          <w:p w14:paraId="340C50B3">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855" w:type="dxa"/>
            <w:gridSpan w:val="2"/>
            <w:shd w:val="clear" w:color="auto" w:fill="auto"/>
            <w:vAlign w:val="center"/>
          </w:tcPr>
          <w:p w14:paraId="219DD302">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701" w:type="dxa"/>
            <w:shd w:val="clear" w:color="auto" w:fill="auto"/>
            <w:vAlign w:val="center"/>
          </w:tcPr>
          <w:p w14:paraId="7C0CB6C4">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14:paraId="765F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2" w:hRule="atLeast"/>
          <w:jc w:val="center"/>
        </w:trPr>
        <w:tc>
          <w:tcPr>
            <w:tcW w:w="2083" w:type="dxa"/>
            <w:gridSpan w:val="3"/>
            <w:vMerge w:val="continue"/>
            <w:vAlign w:val="center"/>
          </w:tcPr>
          <w:p w14:paraId="3803394D">
            <w:pPr>
              <w:widowControl/>
              <w:spacing w:line="220" w:lineRule="exact"/>
              <w:jc w:val="left"/>
              <w:rPr>
                <w:rFonts w:ascii="宋体" w:hAnsi="宋体" w:eastAsia="宋体" w:cs="宋体"/>
                <w:color w:val="000000"/>
                <w:kern w:val="0"/>
                <w:sz w:val="20"/>
                <w:szCs w:val="20"/>
              </w:rPr>
            </w:pPr>
          </w:p>
        </w:tc>
        <w:tc>
          <w:tcPr>
            <w:tcW w:w="2032" w:type="dxa"/>
            <w:shd w:val="clear" w:color="auto" w:fill="auto"/>
            <w:vAlign w:val="center"/>
          </w:tcPr>
          <w:p w14:paraId="3D9EE393">
            <w:pPr>
              <w:widowControl/>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650" w:type="dxa"/>
            <w:shd w:val="clear" w:color="auto" w:fill="auto"/>
            <w:vAlign w:val="center"/>
          </w:tcPr>
          <w:p w14:paraId="67C045E1">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30" w:type="dxa"/>
            <w:shd w:val="clear" w:color="auto" w:fill="auto"/>
            <w:vAlign w:val="center"/>
          </w:tcPr>
          <w:p w14:paraId="002D24B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7" w:type="dxa"/>
            <w:gridSpan w:val="2"/>
            <w:shd w:val="clear" w:color="auto" w:fill="auto"/>
            <w:vAlign w:val="center"/>
          </w:tcPr>
          <w:p w14:paraId="70764B4A">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42" w:type="dxa"/>
            <w:gridSpan w:val="2"/>
            <w:shd w:val="clear" w:color="auto" w:fill="auto"/>
            <w:vAlign w:val="center"/>
          </w:tcPr>
          <w:p w14:paraId="47101A52">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55" w:type="dxa"/>
            <w:gridSpan w:val="2"/>
            <w:shd w:val="clear" w:color="auto" w:fill="auto"/>
            <w:vAlign w:val="center"/>
          </w:tcPr>
          <w:p w14:paraId="40D8A49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701" w:type="dxa"/>
            <w:shd w:val="clear" w:color="auto" w:fill="auto"/>
            <w:vAlign w:val="center"/>
          </w:tcPr>
          <w:p w14:paraId="7BFFE2FA">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14:paraId="083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2" w:hRule="atLeast"/>
          <w:jc w:val="center"/>
        </w:trPr>
        <w:tc>
          <w:tcPr>
            <w:tcW w:w="2083" w:type="dxa"/>
            <w:gridSpan w:val="3"/>
            <w:vMerge w:val="continue"/>
            <w:vAlign w:val="center"/>
          </w:tcPr>
          <w:p w14:paraId="0E18EDB3">
            <w:pPr>
              <w:widowControl/>
              <w:spacing w:line="220" w:lineRule="exact"/>
              <w:jc w:val="left"/>
              <w:rPr>
                <w:rFonts w:ascii="宋体" w:hAnsi="宋体" w:eastAsia="宋体" w:cs="宋体"/>
                <w:color w:val="000000"/>
                <w:kern w:val="0"/>
                <w:sz w:val="20"/>
                <w:szCs w:val="20"/>
              </w:rPr>
            </w:pPr>
          </w:p>
        </w:tc>
        <w:tc>
          <w:tcPr>
            <w:tcW w:w="2032" w:type="dxa"/>
            <w:shd w:val="clear" w:color="auto" w:fill="auto"/>
            <w:vAlign w:val="center"/>
          </w:tcPr>
          <w:p w14:paraId="108D0C1F">
            <w:pPr>
              <w:widowControl/>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其中：本年财政拨款</w:t>
            </w:r>
          </w:p>
        </w:tc>
        <w:tc>
          <w:tcPr>
            <w:tcW w:w="650" w:type="dxa"/>
            <w:shd w:val="clear" w:color="auto" w:fill="auto"/>
            <w:vAlign w:val="center"/>
          </w:tcPr>
          <w:p w14:paraId="513D1925">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30" w:type="dxa"/>
            <w:shd w:val="clear" w:color="auto" w:fill="auto"/>
            <w:vAlign w:val="center"/>
          </w:tcPr>
          <w:p w14:paraId="17D9EA41">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7" w:type="dxa"/>
            <w:gridSpan w:val="2"/>
            <w:shd w:val="clear" w:color="auto" w:fill="auto"/>
            <w:vAlign w:val="center"/>
          </w:tcPr>
          <w:p w14:paraId="49E30C2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742" w:type="dxa"/>
            <w:gridSpan w:val="2"/>
            <w:shd w:val="clear" w:color="auto" w:fill="auto"/>
            <w:vAlign w:val="center"/>
          </w:tcPr>
          <w:p w14:paraId="5B93275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55" w:type="dxa"/>
            <w:gridSpan w:val="2"/>
            <w:shd w:val="clear" w:color="auto" w:fill="auto"/>
            <w:vAlign w:val="center"/>
          </w:tcPr>
          <w:p w14:paraId="363CB13C">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701" w:type="dxa"/>
            <w:shd w:val="clear" w:color="auto" w:fill="auto"/>
            <w:vAlign w:val="center"/>
          </w:tcPr>
          <w:p w14:paraId="0803BFBD">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14:paraId="057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2" w:hRule="atLeast"/>
          <w:jc w:val="center"/>
        </w:trPr>
        <w:tc>
          <w:tcPr>
            <w:tcW w:w="2083" w:type="dxa"/>
            <w:gridSpan w:val="3"/>
            <w:vMerge w:val="continue"/>
            <w:vAlign w:val="center"/>
          </w:tcPr>
          <w:p w14:paraId="25BBBE0F">
            <w:pPr>
              <w:widowControl/>
              <w:spacing w:line="220" w:lineRule="exact"/>
              <w:jc w:val="left"/>
              <w:rPr>
                <w:rFonts w:ascii="宋体" w:hAnsi="宋体" w:eastAsia="宋体" w:cs="宋体"/>
                <w:color w:val="000000"/>
                <w:kern w:val="0"/>
                <w:sz w:val="20"/>
                <w:szCs w:val="20"/>
              </w:rPr>
            </w:pPr>
          </w:p>
        </w:tc>
        <w:tc>
          <w:tcPr>
            <w:tcW w:w="2032" w:type="dxa"/>
            <w:shd w:val="clear" w:color="auto" w:fill="auto"/>
            <w:vAlign w:val="center"/>
          </w:tcPr>
          <w:p w14:paraId="2F3D387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上年结转资金</w:t>
            </w:r>
          </w:p>
        </w:tc>
        <w:tc>
          <w:tcPr>
            <w:tcW w:w="650" w:type="dxa"/>
            <w:shd w:val="clear" w:color="auto" w:fill="auto"/>
            <w:vAlign w:val="center"/>
          </w:tcPr>
          <w:p w14:paraId="648223B0">
            <w:pPr>
              <w:widowControl/>
              <w:spacing w:line="220" w:lineRule="exact"/>
              <w:jc w:val="center"/>
              <w:rPr>
                <w:rFonts w:ascii="宋体" w:hAnsi="宋体" w:eastAsia="宋体" w:cs="宋体"/>
                <w:color w:val="000000"/>
                <w:kern w:val="0"/>
                <w:sz w:val="20"/>
                <w:szCs w:val="20"/>
              </w:rPr>
            </w:pPr>
          </w:p>
        </w:tc>
        <w:tc>
          <w:tcPr>
            <w:tcW w:w="1430" w:type="dxa"/>
            <w:shd w:val="clear" w:color="auto" w:fill="auto"/>
            <w:vAlign w:val="center"/>
          </w:tcPr>
          <w:p w14:paraId="1D31D76D">
            <w:pPr>
              <w:widowControl/>
              <w:spacing w:line="220" w:lineRule="exact"/>
              <w:jc w:val="center"/>
              <w:rPr>
                <w:rFonts w:ascii="宋体" w:hAnsi="宋体" w:eastAsia="宋体" w:cs="宋体"/>
                <w:color w:val="000000"/>
                <w:kern w:val="0"/>
                <w:sz w:val="20"/>
                <w:szCs w:val="20"/>
              </w:rPr>
            </w:pPr>
          </w:p>
        </w:tc>
        <w:tc>
          <w:tcPr>
            <w:tcW w:w="1817" w:type="dxa"/>
            <w:gridSpan w:val="2"/>
            <w:shd w:val="clear" w:color="auto" w:fill="auto"/>
            <w:vAlign w:val="center"/>
          </w:tcPr>
          <w:p w14:paraId="58F5347F">
            <w:pPr>
              <w:widowControl/>
              <w:spacing w:line="220" w:lineRule="exact"/>
              <w:jc w:val="center"/>
              <w:rPr>
                <w:rFonts w:ascii="宋体" w:hAnsi="宋体" w:eastAsia="宋体" w:cs="宋体"/>
                <w:color w:val="000000"/>
                <w:kern w:val="0"/>
                <w:sz w:val="20"/>
                <w:szCs w:val="20"/>
              </w:rPr>
            </w:pPr>
          </w:p>
        </w:tc>
        <w:tc>
          <w:tcPr>
            <w:tcW w:w="742" w:type="dxa"/>
            <w:gridSpan w:val="2"/>
            <w:shd w:val="clear" w:color="auto" w:fill="auto"/>
            <w:vAlign w:val="center"/>
          </w:tcPr>
          <w:p w14:paraId="2A43D7A9">
            <w:pPr>
              <w:widowControl/>
              <w:spacing w:line="220" w:lineRule="exact"/>
              <w:jc w:val="center"/>
              <w:rPr>
                <w:rFonts w:ascii="宋体" w:hAnsi="宋体" w:eastAsia="宋体" w:cs="宋体"/>
                <w:color w:val="000000"/>
                <w:kern w:val="0"/>
                <w:sz w:val="20"/>
                <w:szCs w:val="20"/>
              </w:rPr>
            </w:pPr>
          </w:p>
        </w:tc>
        <w:tc>
          <w:tcPr>
            <w:tcW w:w="855" w:type="dxa"/>
            <w:gridSpan w:val="2"/>
            <w:shd w:val="clear" w:color="auto" w:fill="auto"/>
            <w:vAlign w:val="center"/>
          </w:tcPr>
          <w:p w14:paraId="077B4138">
            <w:pPr>
              <w:widowControl/>
              <w:spacing w:line="220" w:lineRule="exact"/>
              <w:jc w:val="center"/>
              <w:rPr>
                <w:rFonts w:ascii="宋体" w:hAnsi="宋体" w:eastAsia="宋体" w:cs="宋体"/>
                <w:color w:val="000000"/>
                <w:kern w:val="0"/>
                <w:sz w:val="20"/>
                <w:szCs w:val="20"/>
              </w:rPr>
            </w:pPr>
          </w:p>
        </w:tc>
        <w:tc>
          <w:tcPr>
            <w:tcW w:w="701" w:type="dxa"/>
            <w:shd w:val="clear" w:color="auto" w:fill="auto"/>
            <w:vAlign w:val="center"/>
          </w:tcPr>
          <w:p w14:paraId="3CA68E82">
            <w:pPr>
              <w:widowControl/>
              <w:spacing w:line="220" w:lineRule="exact"/>
              <w:jc w:val="center"/>
              <w:rPr>
                <w:rFonts w:ascii="宋体" w:hAnsi="宋体" w:eastAsia="宋体" w:cs="宋体"/>
                <w:color w:val="000000"/>
                <w:kern w:val="0"/>
                <w:sz w:val="20"/>
                <w:szCs w:val="20"/>
              </w:rPr>
            </w:pPr>
          </w:p>
        </w:tc>
      </w:tr>
      <w:tr w14:paraId="550A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02" w:hRule="atLeast"/>
          <w:jc w:val="center"/>
        </w:trPr>
        <w:tc>
          <w:tcPr>
            <w:tcW w:w="2083" w:type="dxa"/>
            <w:gridSpan w:val="3"/>
            <w:vMerge w:val="continue"/>
            <w:vAlign w:val="center"/>
          </w:tcPr>
          <w:p w14:paraId="2386A6FA">
            <w:pPr>
              <w:widowControl/>
              <w:spacing w:line="220" w:lineRule="exact"/>
              <w:jc w:val="left"/>
              <w:rPr>
                <w:rFonts w:ascii="宋体" w:hAnsi="宋体" w:eastAsia="宋体" w:cs="宋体"/>
                <w:color w:val="000000"/>
                <w:kern w:val="0"/>
                <w:sz w:val="20"/>
                <w:szCs w:val="20"/>
              </w:rPr>
            </w:pPr>
          </w:p>
        </w:tc>
        <w:tc>
          <w:tcPr>
            <w:tcW w:w="2032" w:type="dxa"/>
            <w:shd w:val="clear" w:color="auto" w:fill="auto"/>
            <w:vAlign w:val="center"/>
          </w:tcPr>
          <w:p w14:paraId="255E77C8">
            <w:pPr>
              <w:widowControl/>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650" w:type="dxa"/>
            <w:shd w:val="clear" w:color="auto" w:fill="auto"/>
            <w:vAlign w:val="center"/>
          </w:tcPr>
          <w:p w14:paraId="140C6E12">
            <w:pPr>
              <w:widowControl/>
              <w:spacing w:line="220" w:lineRule="exact"/>
              <w:jc w:val="center"/>
              <w:rPr>
                <w:rFonts w:ascii="宋体" w:hAnsi="宋体" w:eastAsia="宋体" w:cs="宋体"/>
                <w:color w:val="000000"/>
                <w:kern w:val="0"/>
                <w:sz w:val="20"/>
                <w:szCs w:val="20"/>
              </w:rPr>
            </w:pPr>
          </w:p>
        </w:tc>
        <w:tc>
          <w:tcPr>
            <w:tcW w:w="1430" w:type="dxa"/>
            <w:shd w:val="clear" w:color="auto" w:fill="auto"/>
            <w:vAlign w:val="center"/>
          </w:tcPr>
          <w:p w14:paraId="1FE3F8B8">
            <w:pPr>
              <w:widowControl/>
              <w:spacing w:line="220" w:lineRule="exact"/>
              <w:jc w:val="center"/>
              <w:rPr>
                <w:rFonts w:ascii="宋体" w:hAnsi="宋体" w:eastAsia="宋体" w:cs="宋体"/>
                <w:color w:val="000000"/>
                <w:kern w:val="0"/>
                <w:sz w:val="20"/>
                <w:szCs w:val="20"/>
              </w:rPr>
            </w:pPr>
          </w:p>
        </w:tc>
        <w:tc>
          <w:tcPr>
            <w:tcW w:w="1817" w:type="dxa"/>
            <w:gridSpan w:val="2"/>
            <w:shd w:val="clear" w:color="auto" w:fill="auto"/>
            <w:vAlign w:val="center"/>
          </w:tcPr>
          <w:p w14:paraId="7E655BE2">
            <w:pPr>
              <w:widowControl/>
              <w:spacing w:line="220" w:lineRule="exact"/>
              <w:jc w:val="center"/>
              <w:rPr>
                <w:rFonts w:ascii="宋体" w:hAnsi="宋体" w:eastAsia="宋体" w:cs="宋体"/>
                <w:color w:val="000000"/>
                <w:kern w:val="0"/>
                <w:sz w:val="20"/>
                <w:szCs w:val="20"/>
              </w:rPr>
            </w:pPr>
          </w:p>
        </w:tc>
        <w:tc>
          <w:tcPr>
            <w:tcW w:w="742" w:type="dxa"/>
            <w:gridSpan w:val="2"/>
            <w:shd w:val="clear" w:color="auto" w:fill="auto"/>
            <w:vAlign w:val="center"/>
          </w:tcPr>
          <w:p w14:paraId="4C1FC4A6">
            <w:pPr>
              <w:widowControl/>
              <w:spacing w:line="220" w:lineRule="exact"/>
              <w:jc w:val="center"/>
              <w:rPr>
                <w:rFonts w:ascii="宋体" w:hAnsi="宋体" w:eastAsia="宋体" w:cs="宋体"/>
                <w:color w:val="000000"/>
                <w:kern w:val="0"/>
                <w:sz w:val="20"/>
                <w:szCs w:val="20"/>
              </w:rPr>
            </w:pPr>
          </w:p>
        </w:tc>
        <w:tc>
          <w:tcPr>
            <w:tcW w:w="855" w:type="dxa"/>
            <w:gridSpan w:val="2"/>
            <w:shd w:val="clear" w:color="auto" w:fill="auto"/>
            <w:vAlign w:val="center"/>
          </w:tcPr>
          <w:p w14:paraId="044AE5DB">
            <w:pPr>
              <w:widowControl/>
              <w:spacing w:line="220" w:lineRule="exact"/>
              <w:jc w:val="center"/>
              <w:rPr>
                <w:rFonts w:ascii="宋体" w:hAnsi="宋体" w:eastAsia="宋体" w:cs="宋体"/>
                <w:color w:val="000000"/>
                <w:kern w:val="0"/>
                <w:sz w:val="20"/>
                <w:szCs w:val="20"/>
              </w:rPr>
            </w:pPr>
          </w:p>
        </w:tc>
        <w:tc>
          <w:tcPr>
            <w:tcW w:w="701" w:type="dxa"/>
            <w:shd w:val="clear" w:color="auto" w:fill="auto"/>
            <w:vAlign w:val="center"/>
          </w:tcPr>
          <w:p w14:paraId="2FA1D2A6">
            <w:pPr>
              <w:widowControl/>
              <w:spacing w:line="220" w:lineRule="exact"/>
              <w:jc w:val="center"/>
              <w:rPr>
                <w:rFonts w:ascii="宋体" w:hAnsi="宋体" w:eastAsia="宋体" w:cs="宋体"/>
                <w:color w:val="000000"/>
                <w:kern w:val="0"/>
                <w:sz w:val="20"/>
                <w:szCs w:val="20"/>
              </w:rPr>
            </w:pPr>
          </w:p>
        </w:tc>
      </w:tr>
      <w:tr w14:paraId="1B86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35" w:hRule="atLeast"/>
          <w:jc w:val="center"/>
        </w:trPr>
        <w:tc>
          <w:tcPr>
            <w:tcW w:w="721" w:type="dxa"/>
            <w:vMerge w:val="restart"/>
            <w:shd w:val="clear" w:color="auto" w:fill="auto"/>
            <w:vAlign w:val="center"/>
          </w:tcPr>
          <w:p w14:paraId="3A386648">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年度总体目标完成情况</w:t>
            </w:r>
          </w:p>
        </w:tc>
        <w:tc>
          <w:tcPr>
            <w:tcW w:w="5474" w:type="dxa"/>
            <w:gridSpan w:val="5"/>
            <w:shd w:val="clear" w:color="auto" w:fill="auto"/>
            <w:vAlign w:val="center"/>
          </w:tcPr>
          <w:p w14:paraId="0E732280">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4115" w:type="dxa"/>
            <w:gridSpan w:val="7"/>
            <w:shd w:val="clear" w:color="auto" w:fill="auto"/>
            <w:vAlign w:val="center"/>
          </w:tcPr>
          <w:p w14:paraId="08052738">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14:paraId="551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20" w:hRule="atLeast"/>
          <w:jc w:val="center"/>
        </w:trPr>
        <w:tc>
          <w:tcPr>
            <w:tcW w:w="721" w:type="dxa"/>
            <w:vMerge w:val="continue"/>
            <w:vAlign w:val="center"/>
          </w:tcPr>
          <w:p w14:paraId="62B2E974">
            <w:pPr>
              <w:widowControl/>
              <w:spacing w:line="220" w:lineRule="exact"/>
              <w:jc w:val="left"/>
              <w:rPr>
                <w:rFonts w:ascii="宋体" w:hAnsi="宋体" w:eastAsia="宋体" w:cs="宋体"/>
                <w:color w:val="000000"/>
                <w:kern w:val="0"/>
                <w:sz w:val="20"/>
                <w:szCs w:val="20"/>
              </w:rPr>
            </w:pPr>
          </w:p>
        </w:tc>
        <w:tc>
          <w:tcPr>
            <w:tcW w:w="5474" w:type="dxa"/>
            <w:gridSpan w:val="5"/>
            <w:shd w:val="clear" w:color="auto" w:fill="auto"/>
            <w:vAlign w:val="center"/>
          </w:tcPr>
          <w:p w14:paraId="2EF06A1B">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加大技术推广，调优养殖结构，落实渔业政策，促进渔业发展；确保水产品药残抽检合格率97%以上，保障我市水产品质量安全、渔业生产安全。</w:t>
            </w:r>
          </w:p>
        </w:tc>
        <w:tc>
          <w:tcPr>
            <w:tcW w:w="4115" w:type="dxa"/>
            <w:gridSpan w:val="7"/>
            <w:shd w:val="clear" w:color="auto" w:fill="auto"/>
            <w:vAlign w:val="center"/>
          </w:tcPr>
          <w:p w14:paraId="431AB03F">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确保我市渔业持续、稳定、健康发展，保障我市水产品质量安全、渔业生产安全。</w:t>
            </w:r>
          </w:p>
        </w:tc>
      </w:tr>
      <w:tr w14:paraId="18F2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1" w:type="dxa"/>
            <w:vMerge w:val="restart"/>
            <w:shd w:val="clear" w:color="auto" w:fill="auto"/>
            <w:textDirection w:val="tbRlV"/>
            <w:vAlign w:val="center"/>
          </w:tcPr>
          <w:p w14:paraId="3D99EBAA">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年度绩效指标完成情况</w:t>
            </w:r>
          </w:p>
        </w:tc>
        <w:tc>
          <w:tcPr>
            <w:tcW w:w="733" w:type="dxa"/>
            <w:shd w:val="clear" w:color="auto" w:fill="auto"/>
            <w:vAlign w:val="center"/>
          </w:tcPr>
          <w:p w14:paraId="644B6F34">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629" w:type="dxa"/>
            <w:shd w:val="clear" w:color="auto" w:fill="auto"/>
            <w:vAlign w:val="center"/>
          </w:tcPr>
          <w:p w14:paraId="36E2D4A8">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682" w:type="dxa"/>
            <w:gridSpan w:val="2"/>
            <w:shd w:val="clear" w:color="auto" w:fill="auto"/>
            <w:vAlign w:val="center"/>
          </w:tcPr>
          <w:p w14:paraId="1117DE82">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430" w:type="dxa"/>
            <w:shd w:val="clear" w:color="auto" w:fill="auto"/>
            <w:vAlign w:val="center"/>
          </w:tcPr>
          <w:p w14:paraId="298C5A7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364" w:type="dxa"/>
            <w:shd w:val="clear" w:color="auto" w:fill="auto"/>
            <w:vAlign w:val="center"/>
          </w:tcPr>
          <w:p w14:paraId="759EBE6D">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实际完成值</w:t>
            </w:r>
          </w:p>
        </w:tc>
        <w:tc>
          <w:tcPr>
            <w:tcW w:w="519" w:type="dxa"/>
            <w:gridSpan w:val="2"/>
            <w:shd w:val="clear" w:color="auto" w:fill="auto"/>
            <w:vAlign w:val="center"/>
          </w:tcPr>
          <w:p w14:paraId="2D52BDE4">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696" w:type="dxa"/>
            <w:gridSpan w:val="2"/>
            <w:shd w:val="clear" w:color="auto" w:fill="auto"/>
            <w:vAlign w:val="center"/>
          </w:tcPr>
          <w:p w14:paraId="0E0604EC">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555" w:type="dxa"/>
            <w:gridSpan w:val="3"/>
            <w:shd w:val="clear" w:color="auto" w:fill="auto"/>
            <w:vAlign w:val="center"/>
          </w:tcPr>
          <w:p w14:paraId="5011431B">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14:paraId="06A9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6FB7FA84">
            <w:pPr>
              <w:widowControl/>
              <w:spacing w:line="220" w:lineRule="exact"/>
              <w:jc w:val="left"/>
              <w:rPr>
                <w:rFonts w:ascii="宋体" w:hAnsi="宋体" w:eastAsia="宋体" w:cs="宋体"/>
                <w:color w:val="000000"/>
                <w:kern w:val="0"/>
                <w:sz w:val="20"/>
                <w:szCs w:val="20"/>
              </w:rPr>
            </w:pPr>
          </w:p>
        </w:tc>
        <w:tc>
          <w:tcPr>
            <w:tcW w:w="733" w:type="dxa"/>
            <w:vMerge w:val="restart"/>
            <w:shd w:val="clear" w:color="auto" w:fill="auto"/>
            <w:vAlign w:val="center"/>
          </w:tcPr>
          <w:p w14:paraId="459EDDF1">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(50分)</w:t>
            </w:r>
          </w:p>
        </w:tc>
        <w:tc>
          <w:tcPr>
            <w:tcW w:w="629" w:type="dxa"/>
            <w:vMerge w:val="restart"/>
            <w:shd w:val="clear" w:color="auto" w:fill="auto"/>
            <w:vAlign w:val="center"/>
          </w:tcPr>
          <w:p w14:paraId="04C99441">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2682" w:type="dxa"/>
            <w:gridSpan w:val="2"/>
            <w:vMerge w:val="restart"/>
            <w:shd w:val="clear" w:color="auto" w:fill="auto"/>
            <w:vAlign w:val="center"/>
          </w:tcPr>
          <w:p w14:paraId="6B44DEA8">
            <w:pPr>
              <w:widowControl/>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推广新品种或新技术模式；完成本年度鱼病系统预报、测报任务；完成本年度省下达我市水产苗种增殖放流任务；完成我市本年度水产品省级例行风险监测抽样送检和增殖放流苗种抽样送检任务. </w:t>
            </w:r>
          </w:p>
        </w:tc>
        <w:tc>
          <w:tcPr>
            <w:tcW w:w="1430" w:type="dxa"/>
            <w:vMerge w:val="restart"/>
            <w:shd w:val="clear" w:color="auto" w:fill="auto"/>
            <w:vAlign w:val="center"/>
          </w:tcPr>
          <w:p w14:paraId="36A8231A">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推广新品种或新技术模式2个以上；鱼病系统测报、预报8次；开展1次增殖放流活动；开展水产品例行风险监测3批次。</w:t>
            </w:r>
          </w:p>
        </w:tc>
        <w:tc>
          <w:tcPr>
            <w:tcW w:w="1364" w:type="dxa"/>
            <w:vMerge w:val="restart"/>
            <w:shd w:val="clear" w:color="auto" w:fill="auto"/>
            <w:vAlign w:val="center"/>
          </w:tcPr>
          <w:p w14:paraId="4B76028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推广新品种或新技术模式2个以上；鱼病系统测报、预报8次；开展1次增殖放流活动；开展水产品例行风险监测3批次。</w:t>
            </w:r>
          </w:p>
        </w:tc>
        <w:tc>
          <w:tcPr>
            <w:tcW w:w="519" w:type="dxa"/>
            <w:gridSpan w:val="2"/>
            <w:vMerge w:val="restart"/>
            <w:shd w:val="clear" w:color="auto" w:fill="auto"/>
            <w:vAlign w:val="center"/>
          </w:tcPr>
          <w:p w14:paraId="17372EF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96" w:type="dxa"/>
            <w:gridSpan w:val="2"/>
            <w:vMerge w:val="restart"/>
            <w:shd w:val="clear" w:color="auto" w:fill="auto"/>
            <w:vAlign w:val="center"/>
          </w:tcPr>
          <w:p w14:paraId="7D3B923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555" w:type="dxa"/>
            <w:gridSpan w:val="3"/>
            <w:vMerge w:val="restart"/>
            <w:shd w:val="clear" w:color="auto" w:fill="auto"/>
            <w:vAlign w:val="center"/>
          </w:tcPr>
          <w:p w14:paraId="24DCB24D">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0C4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7173CA6B">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41768393">
            <w:pPr>
              <w:widowControl/>
              <w:spacing w:line="220" w:lineRule="exact"/>
              <w:jc w:val="left"/>
              <w:rPr>
                <w:rFonts w:ascii="宋体" w:hAnsi="宋体" w:eastAsia="宋体" w:cs="宋体"/>
                <w:kern w:val="0"/>
                <w:sz w:val="20"/>
                <w:szCs w:val="20"/>
              </w:rPr>
            </w:pPr>
          </w:p>
        </w:tc>
        <w:tc>
          <w:tcPr>
            <w:tcW w:w="629" w:type="dxa"/>
            <w:vMerge w:val="continue"/>
            <w:vAlign w:val="center"/>
          </w:tcPr>
          <w:p w14:paraId="7A2A1994">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51261694">
            <w:pPr>
              <w:widowControl/>
              <w:spacing w:line="220" w:lineRule="exact"/>
              <w:jc w:val="left"/>
              <w:rPr>
                <w:rFonts w:ascii="宋体" w:hAnsi="宋体" w:eastAsia="宋体" w:cs="宋体"/>
                <w:color w:val="000000"/>
                <w:kern w:val="0"/>
                <w:sz w:val="20"/>
                <w:szCs w:val="20"/>
              </w:rPr>
            </w:pPr>
          </w:p>
        </w:tc>
        <w:tc>
          <w:tcPr>
            <w:tcW w:w="1430" w:type="dxa"/>
            <w:vMerge w:val="continue"/>
            <w:vAlign w:val="center"/>
          </w:tcPr>
          <w:p w14:paraId="75876B79">
            <w:pPr>
              <w:widowControl/>
              <w:spacing w:line="220" w:lineRule="exact"/>
              <w:jc w:val="left"/>
              <w:rPr>
                <w:rFonts w:ascii="宋体" w:hAnsi="宋体" w:eastAsia="宋体" w:cs="宋体"/>
                <w:color w:val="000000"/>
                <w:kern w:val="0"/>
                <w:sz w:val="20"/>
                <w:szCs w:val="20"/>
              </w:rPr>
            </w:pPr>
          </w:p>
        </w:tc>
        <w:tc>
          <w:tcPr>
            <w:tcW w:w="1364" w:type="dxa"/>
            <w:vMerge w:val="continue"/>
            <w:vAlign w:val="center"/>
          </w:tcPr>
          <w:p w14:paraId="232F1F06">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0163C81B">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6F427C09">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68BBEB26">
            <w:pPr>
              <w:widowControl/>
              <w:spacing w:line="220" w:lineRule="exact"/>
              <w:jc w:val="left"/>
              <w:rPr>
                <w:rFonts w:ascii="宋体" w:hAnsi="宋体" w:eastAsia="宋体" w:cs="宋体"/>
                <w:color w:val="000000"/>
                <w:kern w:val="0"/>
                <w:sz w:val="20"/>
                <w:szCs w:val="20"/>
              </w:rPr>
            </w:pPr>
          </w:p>
        </w:tc>
      </w:tr>
      <w:tr w14:paraId="0052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21" w:type="dxa"/>
            <w:vMerge w:val="continue"/>
            <w:vAlign w:val="center"/>
          </w:tcPr>
          <w:p w14:paraId="6F6C6B32">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6F303116">
            <w:pPr>
              <w:widowControl/>
              <w:spacing w:line="220" w:lineRule="exact"/>
              <w:jc w:val="left"/>
              <w:rPr>
                <w:rFonts w:ascii="宋体" w:hAnsi="宋体" w:eastAsia="宋体" w:cs="宋体"/>
                <w:kern w:val="0"/>
                <w:sz w:val="20"/>
                <w:szCs w:val="20"/>
              </w:rPr>
            </w:pPr>
          </w:p>
        </w:tc>
        <w:tc>
          <w:tcPr>
            <w:tcW w:w="629" w:type="dxa"/>
            <w:vMerge w:val="continue"/>
            <w:vAlign w:val="center"/>
          </w:tcPr>
          <w:p w14:paraId="6A43B52B">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6414DA34">
            <w:pPr>
              <w:widowControl/>
              <w:spacing w:line="220" w:lineRule="exact"/>
              <w:jc w:val="left"/>
              <w:rPr>
                <w:rFonts w:ascii="宋体" w:hAnsi="宋体" w:eastAsia="宋体" w:cs="宋体"/>
                <w:color w:val="000000"/>
                <w:kern w:val="0"/>
                <w:sz w:val="20"/>
                <w:szCs w:val="20"/>
              </w:rPr>
            </w:pPr>
          </w:p>
        </w:tc>
        <w:tc>
          <w:tcPr>
            <w:tcW w:w="1430" w:type="dxa"/>
            <w:vMerge w:val="continue"/>
            <w:vAlign w:val="center"/>
          </w:tcPr>
          <w:p w14:paraId="7920F454">
            <w:pPr>
              <w:widowControl/>
              <w:spacing w:line="220" w:lineRule="exact"/>
              <w:jc w:val="left"/>
              <w:rPr>
                <w:rFonts w:ascii="宋体" w:hAnsi="宋体" w:eastAsia="宋体" w:cs="宋体"/>
                <w:color w:val="000000"/>
                <w:kern w:val="0"/>
                <w:sz w:val="20"/>
                <w:szCs w:val="20"/>
              </w:rPr>
            </w:pPr>
          </w:p>
        </w:tc>
        <w:tc>
          <w:tcPr>
            <w:tcW w:w="1364" w:type="dxa"/>
            <w:vMerge w:val="continue"/>
            <w:vAlign w:val="center"/>
          </w:tcPr>
          <w:p w14:paraId="45B555BE">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115C50D6">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1A2165C6">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6109361A">
            <w:pPr>
              <w:widowControl/>
              <w:spacing w:line="220" w:lineRule="exact"/>
              <w:jc w:val="left"/>
              <w:rPr>
                <w:rFonts w:ascii="宋体" w:hAnsi="宋体" w:eastAsia="宋体" w:cs="宋体"/>
                <w:color w:val="000000"/>
                <w:kern w:val="0"/>
                <w:sz w:val="20"/>
                <w:szCs w:val="20"/>
              </w:rPr>
            </w:pPr>
          </w:p>
        </w:tc>
      </w:tr>
      <w:tr w14:paraId="309A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21" w:type="dxa"/>
            <w:vMerge w:val="continue"/>
            <w:vAlign w:val="center"/>
          </w:tcPr>
          <w:p w14:paraId="550C2D7F">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789D0C0B">
            <w:pPr>
              <w:widowControl/>
              <w:spacing w:line="220" w:lineRule="exact"/>
              <w:jc w:val="left"/>
              <w:rPr>
                <w:rFonts w:ascii="宋体" w:hAnsi="宋体" w:eastAsia="宋体" w:cs="宋体"/>
                <w:kern w:val="0"/>
                <w:sz w:val="20"/>
                <w:szCs w:val="20"/>
              </w:rPr>
            </w:pPr>
          </w:p>
        </w:tc>
        <w:tc>
          <w:tcPr>
            <w:tcW w:w="629" w:type="dxa"/>
            <w:shd w:val="clear" w:color="auto" w:fill="auto"/>
            <w:vAlign w:val="center"/>
          </w:tcPr>
          <w:p w14:paraId="02AADFC3">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682" w:type="dxa"/>
            <w:gridSpan w:val="2"/>
            <w:shd w:val="clear" w:color="auto" w:fill="auto"/>
            <w:vAlign w:val="center"/>
          </w:tcPr>
          <w:p w14:paraId="29DF7495">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优良</w:t>
            </w:r>
          </w:p>
        </w:tc>
        <w:tc>
          <w:tcPr>
            <w:tcW w:w="1430" w:type="dxa"/>
            <w:shd w:val="clear" w:color="auto" w:fill="auto"/>
            <w:vAlign w:val="center"/>
          </w:tcPr>
          <w:p w14:paraId="05B5A45D">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优良</w:t>
            </w:r>
          </w:p>
        </w:tc>
        <w:tc>
          <w:tcPr>
            <w:tcW w:w="1364" w:type="dxa"/>
            <w:shd w:val="clear" w:color="auto" w:fill="auto"/>
            <w:vAlign w:val="center"/>
          </w:tcPr>
          <w:p w14:paraId="2130079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优良</w:t>
            </w:r>
          </w:p>
        </w:tc>
        <w:tc>
          <w:tcPr>
            <w:tcW w:w="519" w:type="dxa"/>
            <w:gridSpan w:val="2"/>
            <w:shd w:val="clear" w:color="auto" w:fill="auto"/>
            <w:vAlign w:val="center"/>
          </w:tcPr>
          <w:p w14:paraId="612D9BCB">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96" w:type="dxa"/>
            <w:gridSpan w:val="2"/>
            <w:shd w:val="clear" w:color="auto" w:fill="auto"/>
            <w:vAlign w:val="center"/>
          </w:tcPr>
          <w:p w14:paraId="6C64FAE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555" w:type="dxa"/>
            <w:gridSpan w:val="3"/>
            <w:shd w:val="clear" w:color="auto" w:fill="auto"/>
            <w:vAlign w:val="center"/>
          </w:tcPr>
          <w:p w14:paraId="30681628">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59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1" w:type="dxa"/>
            <w:vMerge w:val="continue"/>
            <w:vAlign w:val="center"/>
          </w:tcPr>
          <w:p w14:paraId="640D6D9A">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16E48589">
            <w:pPr>
              <w:widowControl/>
              <w:spacing w:line="220" w:lineRule="exact"/>
              <w:jc w:val="left"/>
              <w:rPr>
                <w:rFonts w:ascii="宋体" w:hAnsi="宋体" w:eastAsia="宋体" w:cs="宋体"/>
                <w:kern w:val="0"/>
                <w:sz w:val="20"/>
                <w:szCs w:val="20"/>
              </w:rPr>
            </w:pPr>
          </w:p>
        </w:tc>
        <w:tc>
          <w:tcPr>
            <w:tcW w:w="629" w:type="dxa"/>
            <w:shd w:val="clear" w:color="auto" w:fill="auto"/>
            <w:vAlign w:val="center"/>
          </w:tcPr>
          <w:p w14:paraId="2B57D140">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682" w:type="dxa"/>
            <w:gridSpan w:val="2"/>
            <w:shd w:val="clear" w:color="auto" w:fill="auto"/>
            <w:vAlign w:val="center"/>
          </w:tcPr>
          <w:p w14:paraId="42DD29AC">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按序时进度</w:t>
            </w:r>
          </w:p>
        </w:tc>
        <w:tc>
          <w:tcPr>
            <w:tcW w:w="1430" w:type="dxa"/>
            <w:shd w:val="clear" w:color="auto" w:fill="auto"/>
            <w:vAlign w:val="center"/>
          </w:tcPr>
          <w:p w14:paraId="703A773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及时全面完成</w:t>
            </w:r>
          </w:p>
        </w:tc>
        <w:tc>
          <w:tcPr>
            <w:tcW w:w="1364" w:type="dxa"/>
            <w:shd w:val="clear" w:color="auto" w:fill="auto"/>
            <w:vAlign w:val="center"/>
          </w:tcPr>
          <w:p w14:paraId="5F97B82E">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tc>
        <w:tc>
          <w:tcPr>
            <w:tcW w:w="519" w:type="dxa"/>
            <w:gridSpan w:val="2"/>
            <w:shd w:val="clear" w:color="auto" w:fill="auto"/>
            <w:vAlign w:val="center"/>
          </w:tcPr>
          <w:p w14:paraId="7615883A">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6" w:type="dxa"/>
            <w:gridSpan w:val="2"/>
            <w:shd w:val="clear" w:color="auto" w:fill="auto"/>
            <w:vAlign w:val="center"/>
          </w:tcPr>
          <w:p w14:paraId="21089AF1">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5" w:type="dxa"/>
            <w:gridSpan w:val="3"/>
            <w:shd w:val="clear" w:color="auto" w:fill="auto"/>
            <w:vAlign w:val="center"/>
          </w:tcPr>
          <w:p w14:paraId="49469A8B">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7E8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1" w:type="dxa"/>
            <w:vMerge w:val="continue"/>
            <w:vAlign w:val="center"/>
          </w:tcPr>
          <w:p w14:paraId="6B9346D4">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11DFB11B">
            <w:pPr>
              <w:widowControl/>
              <w:spacing w:line="220" w:lineRule="exact"/>
              <w:jc w:val="left"/>
              <w:rPr>
                <w:rFonts w:ascii="宋体" w:hAnsi="宋体" w:eastAsia="宋体" w:cs="宋体"/>
                <w:kern w:val="0"/>
                <w:sz w:val="20"/>
                <w:szCs w:val="20"/>
              </w:rPr>
            </w:pPr>
          </w:p>
        </w:tc>
        <w:tc>
          <w:tcPr>
            <w:tcW w:w="629" w:type="dxa"/>
            <w:shd w:val="clear" w:color="auto" w:fill="auto"/>
            <w:vAlign w:val="center"/>
          </w:tcPr>
          <w:p w14:paraId="336C4C1E">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2682" w:type="dxa"/>
            <w:gridSpan w:val="2"/>
            <w:shd w:val="clear" w:color="auto" w:fill="auto"/>
            <w:vAlign w:val="center"/>
          </w:tcPr>
          <w:p w14:paraId="4C58960B">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w:t>
            </w:r>
          </w:p>
        </w:tc>
        <w:tc>
          <w:tcPr>
            <w:tcW w:w="1430" w:type="dxa"/>
            <w:shd w:val="clear" w:color="auto" w:fill="auto"/>
            <w:vAlign w:val="center"/>
          </w:tcPr>
          <w:p w14:paraId="3AADA0E3">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不超过5万元</w:t>
            </w:r>
          </w:p>
        </w:tc>
        <w:tc>
          <w:tcPr>
            <w:tcW w:w="1364" w:type="dxa"/>
            <w:shd w:val="clear" w:color="auto" w:fill="auto"/>
            <w:vAlign w:val="center"/>
          </w:tcPr>
          <w:p w14:paraId="488A9C5A">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5万元</w:t>
            </w:r>
          </w:p>
        </w:tc>
        <w:tc>
          <w:tcPr>
            <w:tcW w:w="519" w:type="dxa"/>
            <w:gridSpan w:val="2"/>
            <w:shd w:val="clear" w:color="auto" w:fill="auto"/>
            <w:vAlign w:val="center"/>
          </w:tcPr>
          <w:p w14:paraId="321EE9B4">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6" w:type="dxa"/>
            <w:gridSpan w:val="2"/>
            <w:shd w:val="clear" w:color="auto" w:fill="auto"/>
            <w:vAlign w:val="center"/>
          </w:tcPr>
          <w:p w14:paraId="263ECF2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5" w:type="dxa"/>
            <w:gridSpan w:val="3"/>
            <w:shd w:val="clear" w:color="auto" w:fill="auto"/>
            <w:vAlign w:val="center"/>
          </w:tcPr>
          <w:p w14:paraId="26FE352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BBE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4C160E3F">
            <w:pPr>
              <w:widowControl/>
              <w:spacing w:line="220" w:lineRule="exact"/>
              <w:jc w:val="left"/>
              <w:rPr>
                <w:rFonts w:ascii="宋体" w:hAnsi="宋体" w:eastAsia="宋体" w:cs="宋体"/>
                <w:color w:val="000000"/>
                <w:kern w:val="0"/>
                <w:sz w:val="20"/>
                <w:szCs w:val="20"/>
              </w:rPr>
            </w:pPr>
          </w:p>
        </w:tc>
        <w:tc>
          <w:tcPr>
            <w:tcW w:w="733" w:type="dxa"/>
            <w:vMerge w:val="restart"/>
            <w:shd w:val="clear" w:color="auto" w:fill="auto"/>
            <w:vAlign w:val="center"/>
          </w:tcPr>
          <w:p w14:paraId="1D2479B0">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(30分)</w:t>
            </w:r>
          </w:p>
        </w:tc>
        <w:tc>
          <w:tcPr>
            <w:tcW w:w="629" w:type="dxa"/>
            <w:shd w:val="clear" w:color="auto" w:fill="auto"/>
            <w:vAlign w:val="center"/>
          </w:tcPr>
          <w:p w14:paraId="1E52A4B5">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682" w:type="dxa"/>
            <w:gridSpan w:val="2"/>
            <w:shd w:val="clear" w:color="auto" w:fill="auto"/>
            <w:vAlign w:val="center"/>
          </w:tcPr>
          <w:p w14:paraId="35E13221">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促进渔业发展</w:t>
            </w:r>
          </w:p>
        </w:tc>
        <w:tc>
          <w:tcPr>
            <w:tcW w:w="1430" w:type="dxa"/>
            <w:shd w:val="clear" w:color="auto" w:fill="auto"/>
            <w:vAlign w:val="center"/>
          </w:tcPr>
          <w:p w14:paraId="6DF42920">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渔业绿色健康养殖水平有效提高</w:t>
            </w:r>
          </w:p>
        </w:tc>
        <w:tc>
          <w:tcPr>
            <w:tcW w:w="1364" w:type="dxa"/>
            <w:shd w:val="clear" w:color="auto" w:fill="auto"/>
            <w:vAlign w:val="center"/>
          </w:tcPr>
          <w:p w14:paraId="76E897D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tc>
        <w:tc>
          <w:tcPr>
            <w:tcW w:w="519" w:type="dxa"/>
            <w:gridSpan w:val="2"/>
            <w:shd w:val="clear" w:color="auto" w:fill="auto"/>
            <w:vAlign w:val="center"/>
          </w:tcPr>
          <w:p w14:paraId="35F928A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6" w:type="dxa"/>
            <w:gridSpan w:val="2"/>
            <w:shd w:val="clear" w:color="auto" w:fill="auto"/>
            <w:vAlign w:val="center"/>
          </w:tcPr>
          <w:p w14:paraId="05C6811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5" w:type="dxa"/>
            <w:gridSpan w:val="3"/>
            <w:shd w:val="clear" w:color="auto" w:fill="auto"/>
            <w:vAlign w:val="center"/>
          </w:tcPr>
          <w:p w14:paraId="2A2D7B45">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2CB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1E0600B0">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7F90FBB0">
            <w:pPr>
              <w:widowControl/>
              <w:spacing w:line="220" w:lineRule="exact"/>
              <w:jc w:val="left"/>
              <w:rPr>
                <w:rFonts w:ascii="宋体" w:hAnsi="宋体" w:eastAsia="宋体" w:cs="宋体"/>
                <w:kern w:val="0"/>
                <w:sz w:val="20"/>
                <w:szCs w:val="20"/>
              </w:rPr>
            </w:pPr>
          </w:p>
        </w:tc>
        <w:tc>
          <w:tcPr>
            <w:tcW w:w="629" w:type="dxa"/>
            <w:vMerge w:val="restart"/>
            <w:shd w:val="clear" w:color="auto" w:fill="auto"/>
            <w:vAlign w:val="center"/>
          </w:tcPr>
          <w:p w14:paraId="22B692CE">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682" w:type="dxa"/>
            <w:gridSpan w:val="2"/>
            <w:vMerge w:val="restart"/>
            <w:shd w:val="clear" w:color="auto" w:fill="auto"/>
            <w:vAlign w:val="center"/>
          </w:tcPr>
          <w:p w14:paraId="2ED0D8A9">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保障我市水产品有效供给，保障水产品质量安全、渔业生产安全。</w:t>
            </w:r>
          </w:p>
        </w:tc>
        <w:tc>
          <w:tcPr>
            <w:tcW w:w="1430" w:type="dxa"/>
            <w:vMerge w:val="restart"/>
            <w:shd w:val="clear" w:color="auto" w:fill="auto"/>
            <w:vAlign w:val="center"/>
          </w:tcPr>
          <w:p w14:paraId="53FD7BFD">
            <w:pPr>
              <w:widowControl/>
              <w:spacing w:line="220" w:lineRule="exact"/>
              <w:rPr>
                <w:rFonts w:ascii="宋体" w:hAnsi="宋体" w:eastAsia="宋体" w:cs="宋体"/>
                <w:kern w:val="0"/>
                <w:sz w:val="20"/>
                <w:szCs w:val="20"/>
              </w:rPr>
            </w:pPr>
            <w:r>
              <w:rPr>
                <w:rFonts w:hint="eastAsia" w:ascii="宋体" w:hAnsi="宋体" w:eastAsia="宋体" w:cs="宋体"/>
                <w:kern w:val="0"/>
                <w:sz w:val="20"/>
                <w:szCs w:val="20"/>
              </w:rPr>
              <w:t>水产品药残抽检合格率97%以上，全年无重大水产品质量安全和渔业生产安全事故。</w:t>
            </w:r>
          </w:p>
        </w:tc>
        <w:tc>
          <w:tcPr>
            <w:tcW w:w="1364" w:type="dxa"/>
            <w:vMerge w:val="restart"/>
            <w:shd w:val="clear" w:color="auto" w:fill="auto"/>
            <w:vAlign w:val="center"/>
          </w:tcPr>
          <w:p w14:paraId="08451FA8">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19" w:type="dxa"/>
            <w:gridSpan w:val="2"/>
            <w:vMerge w:val="restart"/>
            <w:shd w:val="clear" w:color="auto" w:fill="auto"/>
            <w:vAlign w:val="center"/>
          </w:tcPr>
          <w:p w14:paraId="1B363319">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6" w:type="dxa"/>
            <w:gridSpan w:val="2"/>
            <w:vMerge w:val="restart"/>
            <w:shd w:val="clear" w:color="auto" w:fill="auto"/>
            <w:vAlign w:val="center"/>
          </w:tcPr>
          <w:p w14:paraId="4D05009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5" w:type="dxa"/>
            <w:gridSpan w:val="3"/>
            <w:vMerge w:val="restart"/>
            <w:shd w:val="clear" w:color="auto" w:fill="auto"/>
            <w:vAlign w:val="center"/>
          </w:tcPr>
          <w:p w14:paraId="28BD502C">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6B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2380DAFB">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4FAB778C">
            <w:pPr>
              <w:widowControl/>
              <w:spacing w:line="220" w:lineRule="exact"/>
              <w:jc w:val="left"/>
              <w:rPr>
                <w:rFonts w:ascii="宋体" w:hAnsi="宋体" w:eastAsia="宋体" w:cs="宋体"/>
                <w:kern w:val="0"/>
                <w:sz w:val="20"/>
                <w:szCs w:val="20"/>
              </w:rPr>
            </w:pPr>
          </w:p>
        </w:tc>
        <w:tc>
          <w:tcPr>
            <w:tcW w:w="629" w:type="dxa"/>
            <w:vMerge w:val="continue"/>
            <w:vAlign w:val="center"/>
          </w:tcPr>
          <w:p w14:paraId="23BC1DF9">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4E6AA9C7">
            <w:pPr>
              <w:widowControl/>
              <w:spacing w:line="220" w:lineRule="exact"/>
              <w:rPr>
                <w:rFonts w:ascii="宋体" w:hAnsi="宋体" w:eastAsia="宋体" w:cs="宋体"/>
                <w:color w:val="000000"/>
                <w:kern w:val="0"/>
                <w:sz w:val="20"/>
                <w:szCs w:val="20"/>
              </w:rPr>
            </w:pPr>
          </w:p>
        </w:tc>
        <w:tc>
          <w:tcPr>
            <w:tcW w:w="1430" w:type="dxa"/>
            <w:vMerge w:val="continue"/>
            <w:vAlign w:val="center"/>
          </w:tcPr>
          <w:p w14:paraId="4B822DD7">
            <w:pPr>
              <w:widowControl/>
              <w:spacing w:line="220" w:lineRule="exact"/>
              <w:rPr>
                <w:rFonts w:ascii="宋体" w:hAnsi="宋体" w:eastAsia="宋体" w:cs="宋体"/>
                <w:kern w:val="0"/>
                <w:sz w:val="20"/>
                <w:szCs w:val="20"/>
              </w:rPr>
            </w:pPr>
          </w:p>
        </w:tc>
        <w:tc>
          <w:tcPr>
            <w:tcW w:w="1364" w:type="dxa"/>
            <w:vMerge w:val="continue"/>
            <w:vAlign w:val="center"/>
          </w:tcPr>
          <w:p w14:paraId="75371A5D">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31007B03">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0DF0D438">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452B596F">
            <w:pPr>
              <w:widowControl/>
              <w:spacing w:line="220" w:lineRule="exact"/>
              <w:jc w:val="left"/>
              <w:rPr>
                <w:rFonts w:ascii="宋体" w:hAnsi="宋体" w:eastAsia="宋体" w:cs="宋体"/>
                <w:color w:val="000000"/>
                <w:kern w:val="0"/>
                <w:sz w:val="20"/>
                <w:szCs w:val="20"/>
              </w:rPr>
            </w:pPr>
          </w:p>
        </w:tc>
      </w:tr>
      <w:tr w14:paraId="1B51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7E06414E">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13F67D01">
            <w:pPr>
              <w:widowControl/>
              <w:spacing w:line="220" w:lineRule="exact"/>
              <w:jc w:val="left"/>
              <w:rPr>
                <w:rFonts w:ascii="宋体" w:hAnsi="宋体" w:eastAsia="宋体" w:cs="宋体"/>
                <w:kern w:val="0"/>
                <w:sz w:val="20"/>
                <w:szCs w:val="20"/>
              </w:rPr>
            </w:pPr>
          </w:p>
        </w:tc>
        <w:tc>
          <w:tcPr>
            <w:tcW w:w="629" w:type="dxa"/>
            <w:vMerge w:val="restart"/>
            <w:shd w:val="clear" w:color="auto" w:fill="auto"/>
            <w:vAlign w:val="center"/>
          </w:tcPr>
          <w:p w14:paraId="69B9EC2D">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682" w:type="dxa"/>
            <w:gridSpan w:val="2"/>
            <w:vMerge w:val="restart"/>
            <w:shd w:val="clear" w:color="auto" w:fill="auto"/>
            <w:vAlign w:val="center"/>
          </w:tcPr>
          <w:p w14:paraId="480115C8">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净化水质，增加公共水域渔业资源</w:t>
            </w:r>
          </w:p>
        </w:tc>
        <w:tc>
          <w:tcPr>
            <w:tcW w:w="1430" w:type="dxa"/>
            <w:vMerge w:val="restart"/>
            <w:shd w:val="clear" w:color="auto" w:fill="auto"/>
            <w:vAlign w:val="center"/>
          </w:tcPr>
          <w:p w14:paraId="071A6EFB">
            <w:pPr>
              <w:widowControl/>
              <w:spacing w:line="220" w:lineRule="exact"/>
              <w:rPr>
                <w:rFonts w:ascii="宋体" w:hAnsi="宋体" w:eastAsia="宋体" w:cs="宋体"/>
                <w:kern w:val="0"/>
                <w:sz w:val="20"/>
                <w:szCs w:val="20"/>
              </w:rPr>
            </w:pPr>
            <w:r>
              <w:rPr>
                <w:rFonts w:hint="eastAsia" w:ascii="宋体" w:hAnsi="宋体" w:eastAsia="宋体" w:cs="宋体"/>
                <w:kern w:val="0"/>
                <w:sz w:val="20"/>
                <w:szCs w:val="20"/>
              </w:rPr>
              <w:t>促进放流水域水质环境改善，增加公共水域渔业资源</w:t>
            </w:r>
          </w:p>
        </w:tc>
        <w:tc>
          <w:tcPr>
            <w:tcW w:w="1364" w:type="dxa"/>
            <w:vMerge w:val="restart"/>
            <w:shd w:val="clear" w:color="auto" w:fill="auto"/>
            <w:vAlign w:val="center"/>
          </w:tcPr>
          <w:p w14:paraId="5068B55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w:t>
            </w:r>
          </w:p>
        </w:tc>
        <w:tc>
          <w:tcPr>
            <w:tcW w:w="519" w:type="dxa"/>
            <w:gridSpan w:val="2"/>
            <w:vMerge w:val="restart"/>
            <w:shd w:val="clear" w:color="auto" w:fill="auto"/>
            <w:vAlign w:val="center"/>
          </w:tcPr>
          <w:p w14:paraId="316708D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96" w:type="dxa"/>
            <w:gridSpan w:val="2"/>
            <w:vMerge w:val="restart"/>
            <w:shd w:val="clear" w:color="auto" w:fill="auto"/>
            <w:vAlign w:val="center"/>
          </w:tcPr>
          <w:p w14:paraId="29AC50AC">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555" w:type="dxa"/>
            <w:gridSpan w:val="3"/>
            <w:vMerge w:val="restart"/>
            <w:shd w:val="clear" w:color="auto" w:fill="auto"/>
            <w:vAlign w:val="center"/>
          </w:tcPr>
          <w:p w14:paraId="4AB49DF8">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802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38044E4E">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155762B8">
            <w:pPr>
              <w:widowControl/>
              <w:spacing w:line="220" w:lineRule="exact"/>
              <w:jc w:val="left"/>
              <w:rPr>
                <w:rFonts w:ascii="宋体" w:hAnsi="宋体" w:eastAsia="宋体" w:cs="宋体"/>
                <w:kern w:val="0"/>
                <w:sz w:val="20"/>
                <w:szCs w:val="20"/>
              </w:rPr>
            </w:pPr>
          </w:p>
        </w:tc>
        <w:tc>
          <w:tcPr>
            <w:tcW w:w="629" w:type="dxa"/>
            <w:vMerge w:val="continue"/>
            <w:vAlign w:val="center"/>
          </w:tcPr>
          <w:p w14:paraId="3D8D6F2A">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1E5D130F">
            <w:pPr>
              <w:widowControl/>
              <w:spacing w:line="220" w:lineRule="exact"/>
              <w:rPr>
                <w:rFonts w:ascii="宋体" w:hAnsi="宋体" w:eastAsia="宋体" w:cs="宋体"/>
                <w:color w:val="000000"/>
                <w:kern w:val="0"/>
                <w:sz w:val="20"/>
                <w:szCs w:val="20"/>
              </w:rPr>
            </w:pPr>
          </w:p>
        </w:tc>
        <w:tc>
          <w:tcPr>
            <w:tcW w:w="1430" w:type="dxa"/>
            <w:vMerge w:val="continue"/>
            <w:vAlign w:val="center"/>
          </w:tcPr>
          <w:p w14:paraId="05A4DFC6">
            <w:pPr>
              <w:widowControl/>
              <w:spacing w:line="220" w:lineRule="exact"/>
              <w:rPr>
                <w:rFonts w:ascii="宋体" w:hAnsi="宋体" w:eastAsia="宋体" w:cs="宋体"/>
                <w:kern w:val="0"/>
                <w:sz w:val="20"/>
                <w:szCs w:val="20"/>
              </w:rPr>
            </w:pPr>
          </w:p>
        </w:tc>
        <w:tc>
          <w:tcPr>
            <w:tcW w:w="1364" w:type="dxa"/>
            <w:vMerge w:val="continue"/>
            <w:vAlign w:val="center"/>
          </w:tcPr>
          <w:p w14:paraId="25E74765">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3F5DC38A">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16C4FAEE">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241C6416">
            <w:pPr>
              <w:widowControl/>
              <w:spacing w:line="220" w:lineRule="exact"/>
              <w:jc w:val="left"/>
              <w:rPr>
                <w:rFonts w:ascii="宋体" w:hAnsi="宋体" w:eastAsia="宋体" w:cs="宋体"/>
                <w:color w:val="000000"/>
                <w:kern w:val="0"/>
                <w:sz w:val="20"/>
                <w:szCs w:val="20"/>
              </w:rPr>
            </w:pPr>
          </w:p>
        </w:tc>
      </w:tr>
      <w:tr w14:paraId="1724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49C782AF">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73280461">
            <w:pPr>
              <w:widowControl/>
              <w:spacing w:line="220" w:lineRule="exact"/>
              <w:jc w:val="left"/>
              <w:rPr>
                <w:rFonts w:ascii="宋体" w:hAnsi="宋体" w:eastAsia="宋体" w:cs="宋体"/>
                <w:kern w:val="0"/>
                <w:sz w:val="20"/>
                <w:szCs w:val="20"/>
              </w:rPr>
            </w:pPr>
          </w:p>
        </w:tc>
        <w:tc>
          <w:tcPr>
            <w:tcW w:w="629" w:type="dxa"/>
            <w:vMerge w:val="continue"/>
            <w:vAlign w:val="center"/>
          </w:tcPr>
          <w:p w14:paraId="4260E879">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607A50A4">
            <w:pPr>
              <w:widowControl/>
              <w:spacing w:line="220" w:lineRule="exact"/>
              <w:rPr>
                <w:rFonts w:ascii="宋体" w:hAnsi="宋体" w:eastAsia="宋体" w:cs="宋体"/>
                <w:color w:val="000000"/>
                <w:kern w:val="0"/>
                <w:sz w:val="20"/>
                <w:szCs w:val="20"/>
              </w:rPr>
            </w:pPr>
          </w:p>
        </w:tc>
        <w:tc>
          <w:tcPr>
            <w:tcW w:w="1430" w:type="dxa"/>
            <w:vMerge w:val="continue"/>
            <w:vAlign w:val="center"/>
          </w:tcPr>
          <w:p w14:paraId="4AC6B4DD">
            <w:pPr>
              <w:widowControl/>
              <w:spacing w:line="220" w:lineRule="exact"/>
              <w:rPr>
                <w:rFonts w:ascii="宋体" w:hAnsi="宋体" w:eastAsia="宋体" w:cs="宋体"/>
                <w:kern w:val="0"/>
                <w:sz w:val="20"/>
                <w:szCs w:val="20"/>
              </w:rPr>
            </w:pPr>
          </w:p>
        </w:tc>
        <w:tc>
          <w:tcPr>
            <w:tcW w:w="1364" w:type="dxa"/>
            <w:vMerge w:val="continue"/>
            <w:vAlign w:val="center"/>
          </w:tcPr>
          <w:p w14:paraId="6ADBA39B">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1B663C70">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0BD2B68C">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2438E2F4">
            <w:pPr>
              <w:widowControl/>
              <w:spacing w:line="220" w:lineRule="exact"/>
              <w:jc w:val="left"/>
              <w:rPr>
                <w:rFonts w:ascii="宋体" w:hAnsi="宋体" w:eastAsia="宋体" w:cs="宋体"/>
                <w:color w:val="000000"/>
                <w:kern w:val="0"/>
                <w:sz w:val="20"/>
                <w:szCs w:val="20"/>
              </w:rPr>
            </w:pPr>
          </w:p>
        </w:tc>
      </w:tr>
      <w:tr w14:paraId="293C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604A7C00">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5D9A5A46">
            <w:pPr>
              <w:widowControl/>
              <w:spacing w:line="220" w:lineRule="exact"/>
              <w:jc w:val="left"/>
              <w:rPr>
                <w:rFonts w:ascii="宋体" w:hAnsi="宋体" w:eastAsia="宋体" w:cs="宋体"/>
                <w:kern w:val="0"/>
                <w:sz w:val="20"/>
                <w:szCs w:val="20"/>
              </w:rPr>
            </w:pPr>
          </w:p>
        </w:tc>
        <w:tc>
          <w:tcPr>
            <w:tcW w:w="629" w:type="dxa"/>
            <w:vMerge w:val="restart"/>
            <w:shd w:val="clear" w:color="auto" w:fill="auto"/>
            <w:vAlign w:val="center"/>
          </w:tcPr>
          <w:p w14:paraId="4EB5B854">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可持续影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响指标</w:t>
            </w:r>
          </w:p>
        </w:tc>
        <w:tc>
          <w:tcPr>
            <w:tcW w:w="2682" w:type="dxa"/>
            <w:gridSpan w:val="2"/>
            <w:vMerge w:val="restart"/>
            <w:shd w:val="clear" w:color="auto" w:fill="auto"/>
            <w:vAlign w:val="center"/>
          </w:tcPr>
          <w:p w14:paraId="751EFAFB">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维护我市渔业工作正常运转, 确保我市渔业工作安全、有序、健康发展。</w:t>
            </w:r>
          </w:p>
        </w:tc>
        <w:tc>
          <w:tcPr>
            <w:tcW w:w="1430" w:type="dxa"/>
            <w:vMerge w:val="restart"/>
            <w:shd w:val="clear" w:color="auto" w:fill="auto"/>
            <w:vAlign w:val="center"/>
          </w:tcPr>
          <w:p w14:paraId="318E2308">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水产品产量增幅1.5%以上。</w:t>
            </w:r>
          </w:p>
        </w:tc>
        <w:tc>
          <w:tcPr>
            <w:tcW w:w="1364" w:type="dxa"/>
            <w:vMerge w:val="restart"/>
            <w:shd w:val="clear" w:color="auto" w:fill="auto"/>
            <w:vAlign w:val="center"/>
          </w:tcPr>
          <w:p w14:paraId="399449D0">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w:t>
            </w:r>
          </w:p>
        </w:tc>
        <w:tc>
          <w:tcPr>
            <w:tcW w:w="519" w:type="dxa"/>
            <w:gridSpan w:val="2"/>
            <w:vMerge w:val="restart"/>
            <w:shd w:val="clear" w:color="auto" w:fill="auto"/>
            <w:vAlign w:val="center"/>
          </w:tcPr>
          <w:p w14:paraId="4F00F614">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96" w:type="dxa"/>
            <w:gridSpan w:val="2"/>
            <w:vMerge w:val="restart"/>
            <w:shd w:val="clear" w:color="auto" w:fill="auto"/>
            <w:vAlign w:val="center"/>
          </w:tcPr>
          <w:p w14:paraId="34D5090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55" w:type="dxa"/>
            <w:gridSpan w:val="3"/>
            <w:vMerge w:val="restart"/>
            <w:shd w:val="clear" w:color="auto" w:fill="auto"/>
            <w:vAlign w:val="center"/>
          </w:tcPr>
          <w:p w14:paraId="1FE2B1B6">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275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2A5295DF">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0D077CF4">
            <w:pPr>
              <w:widowControl/>
              <w:spacing w:line="220" w:lineRule="exact"/>
              <w:jc w:val="left"/>
              <w:rPr>
                <w:rFonts w:ascii="宋体" w:hAnsi="宋体" w:eastAsia="宋体" w:cs="宋体"/>
                <w:kern w:val="0"/>
                <w:sz w:val="20"/>
                <w:szCs w:val="20"/>
              </w:rPr>
            </w:pPr>
          </w:p>
        </w:tc>
        <w:tc>
          <w:tcPr>
            <w:tcW w:w="629" w:type="dxa"/>
            <w:vMerge w:val="continue"/>
            <w:vAlign w:val="center"/>
          </w:tcPr>
          <w:p w14:paraId="28B0CDDA">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02378402">
            <w:pPr>
              <w:widowControl/>
              <w:spacing w:line="220" w:lineRule="exact"/>
              <w:jc w:val="left"/>
              <w:rPr>
                <w:rFonts w:ascii="宋体" w:hAnsi="宋体" w:eastAsia="宋体" w:cs="宋体"/>
                <w:color w:val="000000"/>
                <w:kern w:val="0"/>
                <w:sz w:val="20"/>
                <w:szCs w:val="20"/>
              </w:rPr>
            </w:pPr>
          </w:p>
        </w:tc>
        <w:tc>
          <w:tcPr>
            <w:tcW w:w="1430" w:type="dxa"/>
            <w:vMerge w:val="continue"/>
            <w:vAlign w:val="center"/>
          </w:tcPr>
          <w:p w14:paraId="422F4576">
            <w:pPr>
              <w:widowControl/>
              <w:spacing w:line="220" w:lineRule="exact"/>
              <w:jc w:val="left"/>
              <w:rPr>
                <w:rFonts w:ascii="宋体" w:hAnsi="宋体" w:eastAsia="宋体" w:cs="宋体"/>
                <w:color w:val="000000"/>
                <w:kern w:val="0"/>
                <w:sz w:val="20"/>
                <w:szCs w:val="20"/>
              </w:rPr>
            </w:pPr>
          </w:p>
        </w:tc>
        <w:tc>
          <w:tcPr>
            <w:tcW w:w="1364" w:type="dxa"/>
            <w:vMerge w:val="continue"/>
            <w:vAlign w:val="center"/>
          </w:tcPr>
          <w:p w14:paraId="5AF111FF">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68766929">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25B88C7C">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2E437D43">
            <w:pPr>
              <w:widowControl/>
              <w:spacing w:line="220" w:lineRule="exact"/>
              <w:jc w:val="left"/>
              <w:rPr>
                <w:rFonts w:ascii="宋体" w:hAnsi="宋体" w:eastAsia="宋体" w:cs="宋体"/>
                <w:color w:val="000000"/>
                <w:kern w:val="0"/>
                <w:sz w:val="20"/>
                <w:szCs w:val="20"/>
              </w:rPr>
            </w:pPr>
          </w:p>
        </w:tc>
      </w:tr>
      <w:tr w14:paraId="2B43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31460707">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13E13C55">
            <w:pPr>
              <w:widowControl/>
              <w:spacing w:line="220" w:lineRule="exact"/>
              <w:jc w:val="left"/>
              <w:rPr>
                <w:rFonts w:ascii="宋体" w:hAnsi="宋体" w:eastAsia="宋体" w:cs="宋体"/>
                <w:kern w:val="0"/>
                <w:sz w:val="20"/>
                <w:szCs w:val="20"/>
              </w:rPr>
            </w:pPr>
          </w:p>
        </w:tc>
        <w:tc>
          <w:tcPr>
            <w:tcW w:w="629" w:type="dxa"/>
            <w:vMerge w:val="continue"/>
            <w:vAlign w:val="center"/>
          </w:tcPr>
          <w:p w14:paraId="7AEF11CA">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65AB28E2">
            <w:pPr>
              <w:widowControl/>
              <w:spacing w:line="220" w:lineRule="exact"/>
              <w:jc w:val="left"/>
              <w:rPr>
                <w:rFonts w:ascii="宋体" w:hAnsi="宋体" w:eastAsia="宋体" w:cs="宋体"/>
                <w:color w:val="000000"/>
                <w:kern w:val="0"/>
                <w:sz w:val="20"/>
                <w:szCs w:val="20"/>
              </w:rPr>
            </w:pPr>
          </w:p>
        </w:tc>
        <w:tc>
          <w:tcPr>
            <w:tcW w:w="1430" w:type="dxa"/>
            <w:vMerge w:val="continue"/>
            <w:vAlign w:val="center"/>
          </w:tcPr>
          <w:p w14:paraId="1AD62201">
            <w:pPr>
              <w:widowControl/>
              <w:spacing w:line="220" w:lineRule="exact"/>
              <w:jc w:val="left"/>
              <w:rPr>
                <w:rFonts w:ascii="宋体" w:hAnsi="宋体" w:eastAsia="宋体" w:cs="宋体"/>
                <w:color w:val="000000"/>
                <w:kern w:val="0"/>
                <w:sz w:val="20"/>
                <w:szCs w:val="20"/>
              </w:rPr>
            </w:pPr>
          </w:p>
        </w:tc>
        <w:tc>
          <w:tcPr>
            <w:tcW w:w="1364" w:type="dxa"/>
            <w:vMerge w:val="continue"/>
            <w:vAlign w:val="center"/>
          </w:tcPr>
          <w:p w14:paraId="4DFFD7A5">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14F8B207">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2DF7BE1F">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73587AB4">
            <w:pPr>
              <w:widowControl/>
              <w:spacing w:line="220" w:lineRule="exact"/>
              <w:jc w:val="left"/>
              <w:rPr>
                <w:rFonts w:ascii="宋体" w:hAnsi="宋体" w:eastAsia="宋体" w:cs="宋体"/>
                <w:color w:val="000000"/>
                <w:kern w:val="0"/>
                <w:sz w:val="20"/>
                <w:szCs w:val="20"/>
              </w:rPr>
            </w:pPr>
          </w:p>
        </w:tc>
      </w:tr>
      <w:tr w14:paraId="1D5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23E338B5">
            <w:pPr>
              <w:widowControl/>
              <w:spacing w:line="220" w:lineRule="exact"/>
              <w:jc w:val="left"/>
              <w:rPr>
                <w:rFonts w:ascii="宋体" w:hAnsi="宋体" w:eastAsia="宋体" w:cs="宋体"/>
                <w:color w:val="000000"/>
                <w:kern w:val="0"/>
                <w:sz w:val="20"/>
                <w:szCs w:val="20"/>
              </w:rPr>
            </w:pPr>
          </w:p>
        </w:tc>
        <w:tc>
          <w:tcPr>
            <w:tcW w:w="733" w:type="dxa"/>
            <w:vMerge w:val="restart"/>
            <w:shd w:val="clear" w:color="auto" w:fill="auto"/>
            <w:vAlign w:val="center"/>
          </w:tcPr>
          <w:p w14:paraId="4D1AEB61">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(10分)</w:t>
            </w:r>
          </w:p>
        </w:tc>
        <w:tc>
          <w:tcPr>
            <w:tcW w:w="629" w:type="dxa"/>
            <w:vMerge w:val="restart"/>
            <w:shd w:val="clear" w:color="auto" w:fill="auto"/>
            <w:vAlign w:val="center"/>
          </w:tcPr>
          <w:p w14:paraId="659D1D9D">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682" w:type="dxa"/>
            <w:gridSpan w:val="2"/>
            <w:vMerge w:val="restart"/>
            <w:shd w:val="clear" w:color="auto" w:fill="auto"/>
            <w:vAlign w:val="center"/>
          </w:tcPr>
          <w:p w14:paraId="13E059DB">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农民满意度</w:t>
            </w:r>
          </w:p>
        </w:tc>
        <w:tc>
          <w:tcPr>
            <w:tcW w:w="1430" w:type="dxa"/>
            <w:vMerge w:val="restart"/>
            <w:shd w:val="clear" w:color="auto" w:fill="auto"/>
            <w:vAlign w:val="center"/>
          </w:tcPr>
          <w:p w14:paraId="7A650B8D">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364" w:type="dxa"/>
            <w:vMerge w:val="restart"/>
            <w:shd w:val="clear" w:color="auto" w:fill="auto"/>
            <w:vAlign w:val="center"/>
          </w:tcPr>
          <w:p w14:paraId="086CCE77">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19" w:type="dxa"/>
            <w:gridSpan w:val="2"/>
            <w:vMerge w:val="restart"/>
            <w:shd w:val="clear" w:color="auto" w:fill="auto"/>
            <w:vAlign w:val="center"/>
          </w:tcPr>
          <w:p w14:paraId="1B22110C">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96" w:type="dxa"/>
            <w:gridSpan w:val="2"/>
            <w:vMerge w:val="restart"/>
            <w:shd w:val="clear" w:color="auto" w:fill="auto"/>
            <w:vAlign w:val="center"/>
          </w:tcPr>
          <w:p w14:paraId="29952865">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5" w:type="dxa"/>
            <w:gridSpan w:val="3"/>
            <w:vMerge w:val="restart"/>
            <w:shd w:val="clear" w:color="auto" w:fill="auto"/>
            <w:vAlign w:val="center"/>
          </w:tcPr>
          <w:p w14:paraId="1C5B97C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2EE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0137E786">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70C04D8A">
            <w:pPr>
              <w:widowControl/>
              <w:spacing w:line="220" w:lineRule="exact"/>
              <w:jc w:val="left"/>
              <w:rPr>
                <w:rFonts w:ascii="宋体" w:hAnsi="宋体" w:eastAsia="宋体" w:cs="宋体"/>
                <w:kern w:val="0"/>
                <w:sz w:val="20"/>
                <w:szCs w:val="20"/>
              </w:rPr>
            </w:pPr>
          </w:p>
        </w:tc>
        <w:tc>
          <w:tcPr>
            <w:tcW w:w="629" w:type="dxa"/>
            <w:vMerge w:val="continue"/>
            <w:vAlign w:val="center"/>
          </w:tcPr>
          <w:p w14:paraId="46FD457F">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0350B1A9">
            <w:pPr>
              <w:widowControl/>
              <w:spacing w:line="220" w:lineRule="exact"/>
              <w:jc w:val="left"/>
              <w:rPr>
                <w:rFonts w:ascii="宋体" w:hAnsi="宋体" w:eastAsia="宋体" w:cs="宋体"/>
                <w:color w:val="000000"/>
                <w:kern w:val="0"/>
                <w:sz w:val="20"/>
                <w:szCs w:val="20"/>
              </w:rPr>
            </w:pPr>
          </w:p>
        </w:tc>
        <w:tc>
          <w:tcPr>
            <w:tcW w:w="1430" w:type="dxa"/>
            <w:vMerge w:val="continue"/>
            <w:vAlign w:val="center"/>
          </w:tcPr>
          <w:p w14:paraId="5106FD50">
            <w:pPr>
              <w:widowControl/>
              <w:spacing w:line="220" w:lineRule="exact"/>
              <w:jc w:val="left"/>
              <w:rPr>
                <w:rFonts w:ascii="宋体" w:hAnsi="宋体" w:eastAsia="宋体" w:cs="宋体"/>
                <w:color w:val="000000"/>
                <w:kern w:val="0"/>
                <w:sz w:val="20"/>
                <w:szCs w:val="20"/>
              </w:rPr>
            </w:pPr>
          </w:p>
        </w:tc>
        <w:tc>
          <w:tcPr>
            <w:tcW w:w="1364" w:type="dxa"/>
            <w:vMerge w:val="continue"/>
            <w:vAlign w:val="center"/>
          </w:tcPr>
          <w:p w14:paraId="1715BB46">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47A1DC9D">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032429FA">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5D85F4DD">
            <w:pPr>
              <w:widowControl/>
              <w:spacing w:line="220" w:lineRule="exact"/>
              <w:jc w:val="left"/>
              <w:rPr>
                <w:rFonts w:ascii="宋体" w:hAnsi="宋体" w:eastAsia="宋体" w:cs="宋体"/>
                <w:color w:val="000000"/>
                <w:kern w:val="0"/>
                <w:sz w:val="20"/>
                <w:szCs w:val="20"/>
              </w:rPr>
            </w:pPr>
          </w:p>
        </w:tc>
      </w:tr>
      <w:tr w14:paraId="135E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1" w:type="dxa"/>
            <w:vMerge w:val="continue"/>
            <w:vAlign w:val="center"/>
          </w:tcPr>
          <w:p w14:paraId="75AA8EE0">
            <w:pPr>
              <w:widowControl/>
              <w:spacing w:line="220" w:lineRule="exact"/>
              <w:jc w:val="left"/>
              <w:rPr>
                <w:rFonts w:ascii="宋体" w:hAnsi="宋体" w:eastAsia="宋体" w:cs="宋体"/>
                <w:color w:val="000000"/>
                <w:kern w:val="0"/>
                <w:sz w:val="20"/>
                <w:szCs w:val="20"/>
              </w:rPr>
            </w:pPr>
          </w:p>
        </w:tc>
        <w:tc>
          <w:tcPr>
            <w:tcW w:w="733" w:type="dxa"/>
            <w:vMerge w:val="continue"/>
            <w:vAlign w:val="center"/>
          </w:tcPr>
          <w:p w14:paraId="05C1C83F">
            <w:pPr>
              <w:widowControl/>
              <w:spacing w:line="220" w:lineRule="exact"/>
              <w:jc w:val="left"/>
              <w:rPr>
                <w:rFonts w:ascii="宋体" w:hAnsi="宋体" w:eastAsia="宋体" w:cs="宋体"/>
                <w:kern w:val="0"/>
                <w:sz w:val="20"/>
                <w:szCs w:val="20"/>
              </w:rPr>
            </w:pPr>
          </w:p>
        </w:tc>
        <w:tc>
          <w:tcPr>
            <w:tcW w:w="629" w:type="dxa"/>
            <w:vMerge w:val="continue"/>
            <w:vAlign w:val="center"/>
          </w:tcPr>
          <w:p w14:paraId="547220AD">
            <w:pPr>
              <w:widowControl/>
              <w:spacing w:line="220" w:lineRule="exact"/>
              <w:jc w:val="left"/>
              <w:rPr>
                <w:rFonts w:ascii="宋体" w:hAnsi="宋体" w:eastAsia="宋体" w:cs="宋体"/>
                <w:kern w:val="0"/>
                <w:sz w:val="20"/>
                <w:szCs w:val="20"/>
              </w:rPr>
            </w:pPr>
          </w:p>
        </w:tc>
        <w:tc>
          <w:tcPr>
            <w:tcW w:w="2682" w:type="dxa"/>
            <w:gridSpan w:val="2"/>
            <w:vMerge w:val="continue"/>
            <w:vAlign w:val="center"/>
          </w:tcPr>
          <w:p w14:paraId="168149D0">
            <w:pPr>
              <w:widowControl/>
              <w:spacing w:line="220" w:lineRule="exact"/>
              <w:jc w:val="left"/>
              <w:rPr>
                <w:rFonts w:ascii="宋体" w:hAnsi="宋体" w:eastAsia="宋体" w:cs="宋体"/>
                <w:color w:val="000000"/>
                <w:kern w:val="0"/>
                <w:sz w:val="20"/>
                <w:szCs w:val="20"/>
              </w:rPr>
            </w:pPr>
          </w:p>
        </w:tc>
        <w:tc>
          <w:tcPr>
            <w:tcW w:w="1430" w:type="dxa"/>
            <w:vMerge w:val="continue"/>
            <w:vAlign w:val="center"/>
          </w:tcPr>
          <w:p w14:paraId="402AAFDF">
            <w:pPr>
              <w:widowControl/>
              <w:spacing w:line="220" w:lineRule="exact"/>
              <w:jc w:val="left"/>
              <w:rPr>
                <w:rFonts w:ascii="宋体" w:hAnsi="宋体" w:eastAsia="宋体" w:cs="宋体"/>
                <w:color w:val="000000"/>
                <w:kern w:val="0"/>
                <w:sz w:val="20"/>
                <w:szCs w:val="20"/>
              </w:rPr>
            </w:pPr>
          </w:p>
        </w:tc>
        <w:tc>
          <w:tcPr>
            <w:tcW w:w="1364" w:type="dxa"/>
            <w:vMerge w:val="continue"/>
            <w:vAlign w:val="center"/>
          </w:tcPr>
          <w:p w14:paraId="4D9452A3">
            <w:pPr>
              <w:widowControl/>
              <w:spacing w:line="220" w:lineRule="exact"/>
              <w:jc w:val="left"/>
              <w:rPr>
                <w:rFonts w:ascii="宋体" w:hAnsi="宋体" w:eastAsia="宋体" w:cs="宋体"/>
                <w:color w:val="000000"/>
                <w:kern w:val="0"/>
                <w:sz w:val="20"/>
                <w:szCs w:val="20"/>
              </w:rPr>
            </w:pPr>
          </w:p>
        </w:tc>
        <w:tc>
          <w:tcPr>
            <w:tcW w:w="519" w:type="dxa"/>
            <w:gridSpan w:val="2"/>
            <w:vMerge w:val="continue"/>
            <w:vAlign w:val="center"/>
          </w:tcPr>
          <w:p w14:paraId="42F4CC75">
            <w:pPr>
              <w:widowControl/>
              <w:spacing w:line="220" w:lineRule="exact"/>
              <w:jc w:val="left"/>
              <w:rPr>
                <w:rFonts w:ascii="宋体" w:hAnsi="宋体" w:eastAsia="宋体" w:cs="宋体"/>
                <w:color w:val="000000"/>
                <w:kern w:val="0"/>
                <w:sz w:val="20"/>
                <w:szCs w:val="20"/>
              </w:rPr>
            </w:pPr>
          </w:p>
        </w:tc>
        <w:tc>
          <w:tcPr>
            <w:tcW w:w="696" w:type="dxa"/>
            <w:gridSpan w:val="2"/>
            <w:vMerge w:val="continue"/>
            <w:vAlign w:val="center"/>
          </w:tcPr>
          <w:p w14:paraId="229EB795">
            <w:pPr>
              <w:widowControl/>
              <w:spacing w:line="220" w:lineRule="exact"/>
              <w:jc w:val="left"/>
              <w:rPr>
                <w:rFonts w:ascii="宋体" w:hAnsi="宋体" w:eastAsia="宋体" w:cs="宋体"/>
                <w:color w:val="000000"/>
                <w:kern w:val="0"/>
                <w:sz w:val="20"/>
                <w:szCs w:val="20"/>
              </w:rPr>
            </w:pPr>
          </w:p>
        </w:tc>
        <w:tc>
          <w:tcPr>
            <w:tcW w:w="1555" w:type="dxa"/>
            <w:gridSpan w:val="3"/>
            <w:vMerge w:val="continue"/>
            <w:vAlign w:val="center"/>
          </w:tcPr>
          <w:p w14:paraId="1D640201">
            <w:pPr>
              <w:widowControl/>
              <w:spacing w:line="220" w:lineRule="exact"/>
              <w:jc w:val="left"/>
              <w:rPr>
                <w:rFonts w:ascii="宋体" w:hAnsi="宋体" w:eastAsia="宋体" w:cs="宋体"/>
                <w:color w:val="000000"/>
                <w:kern w:val="0"/>
                <w:sz w:val="20"/>
                <w:szCs w:val="20"/>
              </w:rPr>
            </w:pPr>
          </w:p>
        </w:tc>
      </w:tr>
      <w:tr w14:paraId="713F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765" w:type="dxa"/>
            <w:gridSpan w:val="5"/>
            <w:shd w:val="clear" w:color="auto" w:fill="auto"/>
            <w:vAlign w:val="center"/>
          </w:tcPr>
          <w:p w14:paraId="5211A90C">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总分</w:t>
            </w:r>
          </w:p>
        </w:tc>
        <w:tc>
          <w:tcPr>
            <w:tcW w:w="1430" w:type="dxa"/>
            <w:shd w:val="clear" w:color="auto" w:fill="auto"/>
            <w:noWrap/>
            <w:vAlign w:val="center"/>
          </w:tcPr>
          <w:p w14:paraId="6B9D337B">
            <w:pPr>
              <w:widowControl/>
              <w:spacing w:line="220" w:lineRule="exact"/>
              <w:jc w:val="left"/>
              <w:rPr>
                <w:rFonts w:ascii="宋体" w:hAnsi="宋体" w:eastAsia="宋体" w:cs="宋体"/>
                <w:color w:val="000000"/>
                <w:kern w:val="0"/>
                <w:sz w:val="20"/>
                <w:szCs w:val="20"/>
              </w:rPr>
            </w:pPr>
          </w:p>
        </w:tc>
        <w:tc>
          <w:tcPr>
            <w:tcW w:w="1364" w:type="dxa"/>
            <w:shd w:val="clear" w:color="auto" w:fill="auto"/>
            <w:vAlign w:val="center"/>
          </w:tcPr>
          <w:p w14:paraId="621DBC9C">
            <w:pPr>
              <w:widowControl/>
              <w:spacing w:line="220" w:lineRule="exact"/>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519" w:type="dxa"/>
            <w:gridSpan w:val="2"/>
            <w:shd w:val="clear" w:color="auto" w:fill="auto"/>
            <w:vAlign w:val="center"/>
          </w:tcPr>
          <w:p w14:paraId="5BB487F5">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696" w:type="dxa"/>
            <w:gridSpan w:val="2"/>
            <w:shd w:val="clear" w:color="auto" w:fill="auto"/>
            <w:vAlign w:val="center"/>
          </w:tcPr>
          <w:p w14:paraId="1B641A1D">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c>
          <w:tcPr>
            <w:tcW w:w="1555" w:type="dxa"/>
            <w:gridSpan w:val="3"/>
            <w:shd w:val="clear" w:color="auto" w:fill="auto"/>
            <w:vAlign w:val="center"/>
          </w:tcPr>
          <w:p w14:paraId="2F42654F">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73BB8907">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p w14:paraId="53CCE3CA">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2.定性指标根据指标完成情况分为：达成预期指标、部分达成预期指标并具有一定效果、未达成预期指标且效果较差三档，分别按照该指标对应分值区间100-80%(含80%)、80-60%(含60%)、60-0%合理确定分值。</w:t>
      </w:r>
    </w:p>
    <w:p w14:paraId="0BE54CD9">
      <w:pPr>
        <w:spacing w:line="400" w:lineRule="exact"/>
        <w:ind w:firstLine="480" w:firstLineChars="200"/>
        <w:rPr>
          <w:rFonts w:ascii="仿宋_GB2312" w:hAnsi="仿宋_GB2312"/>
          <w:bCs/>
          <w:sz w:val="24"/>
          <w:szCs w:val="24"/>
        </w:rPr>
      </w:pPr>
      <w:r>
        <w:rPr>
          <w:rFonts w:hint="eastAsia" w:ascii="宋体" w:hAnsi="宋体" w:eastAsia="宋体" w:cs="宋体"/>
          <w:color w:val="000000"/>
          <w:kern w:val="0"/>
          <w:sz w:val="24"/>
          <w:szCs w:val="24"/>
        </w:rPr>
        <w:t>3.定量指标若为正向指标（即指标值为≥*），则得分计算方法应用全年实际值/年度指标值╳该指标分值；若定量指标为反向指标（即指标值为≤*），则得分计算方法应用年度指标值/全年实际值╳该指标分值；定量指标得分最高不得超过该指标分值上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4.评价得分说明：说明全年实际值与年度指标值偏离情况（未达、持平、超额）。</w:t>
      </w:r>
    </w:p>
    <w:p w14:paraId="51720314">
      <w:pPr>
        <w:spacing w:line="400" w:lineRule="exact"/>
        <w:ind w:firstLine="480" w:firstLineChars="200"/>
        <w:rPr>
          <w:rFonts w:ascii="仿宋_GB2312" w:hAnsi="仿宋_GB2312"/>
          <w:bCs/>
          <w:sz w:val="24"/>
          <w:szCs w:val="24"/>
        </w:rPr>
      </w:pPr>
    </w:p>
    <w:p w14:paraId="74309C9D">
      <w:pPr>
        <w:spacing w:line="400" w:lineRule="exact"/>
        <w:ind w:firstLine="480" w:firstLineChars="200"/>
        <w:rPr>
          <w:rFonts w:ascii="仿宋_GB2312" w:hAnsi="仿宋_GB2312"/>
          <w:bCs/>
          <w:sz w:val="24"/>
          <w:szCs w:val="24"/>
        </w:rPr>
      </w:pPr>
    </w:p>
    <w:p w14:paraId="05D54128">
      <w:pPr>
        <w:ind w:firstLine="640" w:firstLineChars="200"/>
        <w:rPr>
          <w:rFonts w:ascii="仿宋_GB2312" w:hAnsi="仿宋_GB2312"/>
          <w:bCs/>
        </w:rPr>
      </w:pPr>
    </w:p>
    <w:p w14:paraId="7FEA3E68">
      <w:pPr>
        <w:adjustRightInd w:val="0"/>
        <w:snapToGrid w:val="0"/>
        <w:spacing w:line="600" w:lineRule="exact"/>
        <w:ind w:firstLine="640" w:firstLineChars="200"/>
        <w:rPr>
          <w:rFonts w:ascii="黑体" w:hAnsi="黑体" w:eastAsia="黑体"/>
        </w:rPr>
        <w:sectPr>
          <w:pgSz w:w="11906" w:h="16838"/>
          <w:pgMar w:top="1440" w:right="1800" w:bottom="1440" w:left="1800" w:header="851" w:footer="992" w:gutter="0"/>
          <w:cols w:space="425" w:num="1"/>
          <w:docGrid w:type="lines" w:linePitch="312" w:charSpace="0"/>
        </w:sectPr>
      </w:pPr>
    </w:p>
    <w:p w14:paraId="3158E5B9">
      <w:pPr>
        <w:adjustRightInd w:val="0"/>
        <w:snapToGrid w:val="0"/>
        <w:spacing w:line="600" w:lineRule="exact"/>
        <w:ind w:firstLine="640" w:firstLineChars="200"/>
        <w:rPr>
          <w:rFonts w:ascii="黑体" w:hAnsi="黑体" w:eastAsia="黑体"/>
        </w:rPr>
      </w:pPr>
      <w:r>
        <w:rPr>
          <w:rFonts w:hint="eastAsia" w:ascii="黑体" w:hAnsi="黑体" w:eastAsia="黑体"/>
        </w:rPr>
        <w:t>第三部分 名词解释</w:t>
      </w:r>
    </w:p>
    <w:p w14:paraId="2BFC4833">
      <w:pPr>
        <w:adjustRightInd w:val="0"/>
        <w:snapToGrid w:val="0"/>
        <w:spacing w:line="600" w:lineRule="exact"/>
        <w:ind w:firstLine="643" w:firstLineChars="200"/>
        <w:rPr>
          <w:rFonts w:ascii="仿宋_GB2312" w:hAnsi="仿宋_GB2312" w:eastAsia="宋体" w:cs="宋体"/>
          <w:bCs/>
          <w:kern w:val="0"/>
        </w:rPr>
      </w:pPr>
      <w:r>
        <w:rPr>
          <w:rFonts w:hint="eastAsia" w:ascii="宋体" w:hAnsi="宋体" w:eastAsia="宋体" w:cs="宋体"/>
          <w:b/>
        </w:rPr>
        <w:t>一、财政拨款收入：</w:t>
      </w:r>
      <w:r>
        <w:rPr>
          <w:rFonts w:ascii="仿宋_GB2312" w:hAnsi="仿宋_GB2312" w:eastAsia="宋体" w:cs="宋体"/>
          <w:bCs/>
          <w:kern w:val="0"/>
        </w:rPr>
        <w:t>指单位从同级财政部门取得的财政预算资金</w:t>
      </w:r>
      <w:r>
        <w:rPr>
          <w:rFonts w:hint="eastAsia" w:ascii="仿宋_GB2312" w:hAnsi="仿宋_GB2312" w:eastAsia="宋体" w:cs="宋体"/>
          <w:bCs/>
          <w:kern w:val="0"/>
        </w:rPr>
        <w:t>。</w:t>
      </w:r>
    </w:p>
    <w:p w14:paraId="1AF7A92E">
      <w:pPr>
        <w:adjustRightInd w:val="0"/>
        <w:snapToGrid w:val="0"/>
        <w:spacing w:line="600" w:lineRule="exact"/>
        <w:ind w:firstLine="643" w:firstLineChars="200"/>
        <w:rPr>
          <w:rFonts w:ascii="仿宋_GB2312" w:hAnsi="仿宋_GB2312" w:eastAsia="宋体" w:cs="宋体"/>
          <w:bCs/>
          <w:kern w:val="0"/>
        </w:rPr>
      </w:pPr>
      <w:r>
        <w:rPr>
          <w:rFonts w:hint="eastAsia" w:ascii="宋体" w:hAnsi="宋体" w:eastAsia="宋体" w:cs="宋体"/>
          <w:b/>
          <w:bCs/>
        </w:rPr>
        <w:t>二、事业收入：</w:t>
      </w:r>
      <w:r>
        <w:rPr>
          <w:rFonts w:ascii="仿宋_GB2312" w:hAnsi="仿宋_GB2312" w:eastAsia="宋体" w:cs="宋体"/>
          <w:bCs/>
          <w:kern w:val="0"/>
        </w:rPr>
        <w:t>指事业单位开展专业业务活动及辅助活动所取得的收入</w:t>
      </w:r>
      <w:r>
        <w:rPr>
          <w:rFonts w:hint="eastAsia" w:ascii="仿宋_GB2312" w:hAnsi="仿宋_GB2312" w:eastAsia="宋体" w:cs="宋体"/>
          <w:bCs/>
          <w:kern w:val="0"/>
        </w:rPr>
        <w:t>。</w:t>
      </w:r>
    </w:p>
    <w:p w14:paraId="66CCB7AB">
      <w:pPr>
        <w:adjustRightInd w:val="0"/>
        <w:snapToGrid w:val="0"/>
        <w:spacing w:line="600" w:lineRule="exact"/>
        <w:ind w:firstLine="643" w:firstLineChars="200"/>
        <w:rPr>
          <w:rFonts w:ascii="仿宋_GB2312" w:hAnsi="仿宋_GB2312" w:eastAsia="宋体" w:cs="宋体"/>
          <w:bCs/>
          <w:kern w:val="0"/>
        </w:rPr>
      </w:pPr>
      <w:r>
        <w:rPr>
          <w:rFonts w:hint="eastAsia" w:ascii="宋体" w:hAnsi="宋体" w:eastAsia="宋体" w:cs="宋体"/>
          <w:b/>
          <w:bCs/>
        </w:rPr>
        <w:t>三、上级补助收入：</w:t>
      </w:r>
      <w:r>
        <w:rPr>
          <w:rFonts w:ascii="仿宋_GB2312" w:hAnsi="仿宋_GB2312" w:eastAsia="宋体" w:cs="宋体"/>
          <w:bCs/>
          <w:kern w:val="0"/>
        </w:rPr>
        <w:t>指事业单位从主管部门和上级单位取得的非财政补助收入</w:t>
      </w:r>
      <w:r>
        <w:rPr>
          <w:rFonts w:hint="eastAsia" w:ascii="仿宋_GB2312" w:hAnsi="仿宋_GB2312" w:eastAsia="宋体" w:cs="宋体"/>
          <w:bCs/>
          <w:kern w:val="0"/>
        </w:rPr>
        <w:t>。</w:t>
      </w:r>
    </w:p>
    <w:p w14:paraId="03EA9777">
      <w:pPr>
        <w:pStyle w:val="5"/>
        <w:adjustRightInd w:val="0"/>
        <w:snapToGrid w:val="0"/>
        <w:spacing w:before="0" w:beforeAutospacing="0" w:after="0" w:afterAutospacing="0" w:line="600" w:lineRule="exact"/>
        <w:ind w:firstLine="630" w:firstLineChars="196"/>
        <w:rPr>
          <w:rFonts w:ascii="仿宋_GB2312" w:hAnsi="黑体"/>
          <w:bCs/>
          <w:sz w:val="32"/>
          <w:szCs w:val="32"/>
        </w:rPr>
      </w:pPr>
      <w:r>
        <w:rPr>
          <w:rFonts w:ascii="仿宋_GB2312" w:hAnsi="仿宋_GB2312"/>
          <w:b/>
          <w:bCs/>
          <w:sz w:val="32"/>
          <w:szCs w:val="32"/>
        </w:rPr>
        <w:t>四、附属单位上缴收入：</w:t>
      </w:r>
      <w:r>
        <w:rPr>
          <w:rFonts w:ascii="仿宋_GB2312" w:hAnsi="仿宋_GB2312"/>
          <w:bCs/>
          <w:sz w:val="32"/>
          <w:szCs w:val="32"/>
        </w:rPr>
        <w:t>指事业单位附属独立核算单位按照有关规定上缴的收入。</w:t>
      </w:r>
    </w:p>
    <w:p w14:paraId="20D155E4">
      <w:pPr>
        <w:pStyle w:val="5"/>
        <w:adjustRightInd w:val="0"/>
        <w:snapToGrid w:val="0"/>
        <w:spacing w:before="0" w:beforeAutospacing="0" w:after="0" w:afterAutospacing="0" w:line="600" w:lineRule="exact"/>
        <w:ind w:firstLine="630" w:firstLineChars="196"/>
        <w:rPr>
          <w:rFonts w:ascii="仿宋_GB2312" w:hAnsi="黑体"/>
          <w:bCs/>
          <w:sz w:val="32"/>
          <w:szCs w:val="32"/>
        </w:rPr>
      </w:pPr>
      <w:r>
        <w:rPr>
          <w:rFonts w:ascii="仿宋_GB2312" w:hAnsi="仿宋_GB2312"/>
          <w:b/>
          <w:bCs/>
          <w:sz w:val="32"/>
          <w:szCs w:val="32"/>
        </w:rPr>
        <w:t>五、经营收入</w:t>
      </w:r>
      <w:r>
        <w:rPr>
          <w:rFonts w:hint="eastAsia"/>
          <w:b/>
          <w:bCs/>
          <w:color w:val="383535"/>
        </w:rPr>
        <w:t>：</w:t>
      </w:r>
      <w:r>
        <w:rPr>
          <w:rFonts w:ascii="仿宋_GB2312" w:hAnsi="仿宋_GB2312"/>
          <w:bCs/>
          <w:sz w:val="32"/>
          <w:szCs w:val="32"/>
        </w:rPr>
        <w:t>指事业单位在专业业务活动及其辅助活动之外开展非独立核算经营活动取得的收入。</w:t>
      </w:r>
    </w:p>
    <w:p w14:paraId="30FEDA84">
      <w:pPr>
        <w:adjustRightInd w:val="0"/>
        <w:snapToGrid w:val="0"/>
        <w:spacing w:line="600" w:lineRule="exact"/>
        <w:ind w:firstLine="643" w:firstLineChars="200"/>
        <w:rPr>
          <w:rFonts w:ascii="仿宋_GB2312" w:hAnsi="仿宋_GB2312" w:eastAsia="宋体" w:cs="宋体"/>
          <w:kern w:val="0"/>
        </w:rPr>
      </w:pPr>
      <w:r>
        <w:rPr>
          <w:rFonts w:hint="eastAsia" w:ascii="宋体" w:hAnsi="宋体" w:eastAsia="宋体" w:cs="宋体"/>
          <w:b/>
        </w:rPr>
        <w:t>六、</w:t>
      </w:r>
      <w:r>
        <w:rPr>
          <w:rFonts w:hint="eastAsia" w:ascii="宋体" w:hAnsi="宋体" w:eastAsia="宋体" w:cs="宋体"/>
          <w:b/>
          <w:bCs/>
        </w:rPr>
        <w:t>其他收入：</w:t>
      </w:r>
      <w:r>
        <w:rPr>
          <w:rFonts w:ascii="仿宋_GB2312" w:hAnsi="仿宋_GB2312" w:eastAsia="宋体" w:cs="宋体"/>
          <w:kern w:val="0"/>
        </w:rPr>
        <w:t>指除财政拨款收入、事业收入、上级补助收入、附属单位上缴收入、经营收入以外的各项收入</w:t>
      </w:r>
      <w:r>
        <w:rPr>
          <w:rFonts w:hint="eastAsia" w:ascii="仿宋_GB2312" w:hAnsi="仿宋_GB2312" w:eastAsia="宋体" w:cs="宋体"/>
          <w:kern w:val="0"/>
        </w:rPr>
        <w:t>。</w:t>
      </w:r>
    </w:p>
    <w:p w14:paraId="454A4FF5">
      <w:pPr>
        <w:adjustRightInd w:val="0"/>
        <w:snapToGrid w:val="0"/>
        <w:spacing w:line="600" w:lineRule="exact"/>
        <w:ind w:firstLine="643" w:firstLineChars="200"/>
        <w:rPr>
          <w:rFonts w:ascii="仿宋_GB2312" w:hAnsi="仿宋_GB2312" w:eastAsia="宋体" w:cs="宋体"/>
          <w:kern w:val="0"/>
        </w:rPr>
      </w:pPr>
      <w:r>
        <w:rPr>
          <w:rFonts w:hint="eastAsia" w:ascii="宋体" w:hAnsi="宋体" w:eastAsia="宋体" w:cs="宋体"/>
          <w:b/>
          <w:bCs/>
        </w:rPr>
        <w:t>七</w:t>
      </w:r>
      <w:r>
        <w:rPr>
          <w:rFonts w:ascii="仿宋_GB2312" w:hAnsi="仿宋_GB2312"/>
        </w:rPr>
        <w:t>、</w:t>
      </w:r>
      <w:r>
        <w:rPr>
          <w:rFonts w:hint="eastAsia" w:ascii="宋体" w:hAnsi="宋体" w:eastAsia="宋体" w:cs="宋体"/>
          <w:b/>
          <w:bCs/>
        </w:rPr>
        <w:t>使用非财政拨款结余：</w:t>
      </w:r>
      <w:r>
        <w:rPr>
          <w:rFonts w:ascii="仿宋_GB2312" w:hAnsi="仿宋_GB2312" w:eastAsia="宋体" w:cs="宋体"/>
          <w:kern w:val="0"/>
        </w:rPr>
        <w:t>指事业单位使用以前年度积累的非财政拨款结余弥补当年收支差额的金额</w:t>
      </w:r>
      <w:r>
        <w:rPr>
          <w:rFonts w:hint="eastAsia" w:ascii="仿宋_GB2312" w:hAnsi="仿宋_GB2312" w:eastAsia="宋体" w:cs="宋体"/>
          <w:kern w:val="0"/>
        </w:rPr>
        <w:t>。</w:t>
      </w:r>
    </w:p>
    <w:p w14:paraId="3ECC8EC6">
      <w:pPr>
        <w:pStyle w:val="5"/>
        <w:adjustRightInd w:val="0"/>
        <w:snapToGrid w:val="0"/>
        <w:spacing w:before="0" w:beforeAutospacing="0" w:after="0" w:afterAutospacing="0" w:line="600" w:lineRule="exact"/>
        <w:ind w:firstLine="630" w:firstLineChars="196"/>
        <w:rPr>
          <w:rFonts w:ascii="仿宋_GB2312" w:hAnsi="黑体"/>
          <w:bCs/>
          <w:sz w:val="32"/>
          <w:szCs w:val="32"/>
        </w:rPr>
      </w:pPr>
      <w:r>
        <w:rPr>
          <w:rFonts w:ascii="仿宋_GB2312" w:hAnsi="仿宋_GB2312"/>
          <w:b/>
          <w:bCs/>
          <w:sz w:val="32"/>
          <w:szCs w:val="32"/>
        </w:rPr>
        <w:t>八、年初结转和结余：</w:t>
      </w:r>
      <w:r>
        <w:rPr>
          <w:rFonts w:ascii="仿宋_GB2312" w:hAnsi="仿宋_GB2312"/>
          <w:bCs/>
          <w:sz w:val="32"/>
          <w:szCs w:val="32"/>
        </w:rPr>
        <w:t>指以前年度安排、结转到本年仍按原规定用途继续使用的资金。</w:t>
      </w:r>
    </w:p>
    <w:p w14:paraId="1569ED53">
      <w:pPr>
        <w:pStyle w:val="5"/>
        <w:adjustRightInd w:val="0"/>
        <w:snapToGrid w:val="0"/>
        <w:spacing w:before="0" w:beforeAutospacing="0" w:after="0" w:afterAutospacing="0" w:line="600" w:lineRule="exact"/>
        <w:ind w:firstLine="630" w:firstLineChars="196"/>
        <w:rPr>
          <w:rFonts w:ascii="仿宋_GB2312" w:hAnsi="黑体"/>
          <w:bCs/>
          <w:sz w:val="32"/>
          <w:szCs w:val="32"/>
        </w:rPr>
      </w:pPr>
      <w:r>
        <w:rPr>
          <w:rFonts w:ascii="仿宋_GB2312" w:hAnsi="仿宋_GB2312"/>
          <w:b/>
          <w:bCs/>
          <w:sz w:val="32"/>
          <w:szCs w:val="32"/>
        </w:rPr>
        <w:t>九、结余分配：</w:t>
      </w:r>
      <w:r>
        <w:rPr>
          <w:rFonts w:ascii="仿宋_GB2312" w:hAnsi="仿宋_GB2312"/>
          <w:bCs/>
          <w:sz w:val="32"/>
          <w:szCs w:val="32"/>
        </w:rPr>
        <w:t>指事业单位按照会计制度规定缴纳的所得税以及从非财政拨款结余中提取的职工福利基金、事业基金等。</w:t>
      </w:r>
    </w:p>
    <w:p w14:paraId="06ECBA48">
      <w:pPr>
        <w:pStyle w:val="5"/>
        <w:adjustRightInd w:val="0"/>
        <w:snapToGrid w:val="0"/>
        <w:spacing w:before="0" w:beforeAutospacing="0" w:after="0" w:afterAutospacing="0" w:line="600" w:lineRule="exact"/>
        <w:ind w:firstLine="630" w:firstLineChars="196"/>
        <w:rPr>
          <w:rFonts w:ascii="仿宋_GB2312" w:hAnsi="黑体"/>
          <w:b/>
          <w:sz w:val="32"/>
          <w:szCs w:val="32"/>
        </w:rPr>
      </w:pPr>
      <w:r>
        <w:rPr>
          <w:rFonts w:ascii="仿宋_GB2312" w:hAnsi="仿宋_GB2312"/>
          <w:b/>
          <w:bCs/>
          <w:sz w:val="32"/>
          <w:szCs w:val="32"/>
        </w:rPr>
        <w:t>十、年末结转和结余：</w:t>
      </w:r>
      <w:r>
        <w:rPr>
          <w:rFonts w:ascii="仿宋_GB2312" w:hAnsi="仿宋_GB2312"/>
          <w:bCs/>
          <w:sz w:val="32"/>
          <w:szCs w:val="32"/>
        </w:rPr>
        <w:t>指单位本年度或以前年度预算安排、因客观条件发生变化未全部执行或未执行，结转到以后年度继续使用的资金，或项目已经完成等产生的结余资金。</w:t>
      </w:r>
    </w:p>
    <w:p w14:paraId="7DCE4365">
      <w:pPr>
        <w:pStyle w:val="5"/>
        <w:adjustRightInd w:val="0"/>
        <w:snapToGrid w:val="0"/>
        <w:spacing w:before="0" w:beforeAutospacing="0" w:after="0" w:afterAutospacing="0" w:line="600" w:lineRule="exact"/>
        <w:ind w:firstLine="630" w:firstLineChars="196"/>
        <w:rPr>
          <w:rFonts w:ascii="仿宋_GB2312" w:hAnsi="黑体"/>
          <w:sz w:val="32"/>
          <w:szCs w:val="32"/>
        </w:rPr>
      </w:pPr>
      <w:r>
        <w:rPr>
          <w:rFonts w:ascii="仿宋_GB2312" w:hAnsi="仿宋_GB2312"/>
          <w:b/>
          <w:sz w:val="32"/>
          <w:szCs w:val="32"/>
        </w:rPr>
        <w:t>十一、基本支出：</w:t>
      </w:r>
      <w:r>
        <w:rPr>
          <w:rFonts w:ascii="仿宋_GB2312" w:hAnsi="仿宋_GB2312"/>
          <w:sz w:val="32"/>
          <w:szCs w:val="32"/>
        </w:rPr>
        <w:t>指单位为保障其机构正常运转、完成日常工作任务而发生的人员支出和公用支出。</w:t>
      </w:r>
    </w:p>
    <w:p w14:paraId="1076ECFB">
      <w:pPr>
        <w:pStyle w:val="5"/>
        <w:spacing w:before="0" w:beforeAutospacing="0" w:after="0" w:afterAutospacing="0" w:line="600" w:lineRule="exact"/>
        <w:ind w:firstLine="630" w:firstLineChars="196"/>
        <w:jc w:val="both"/>
        <w:rPr>
          <w:rFonts w:ascii="仿宋_GB2312" w:hAnsi="黑体"/>
          <w:sz w:val="32"/>
          <w:szCs w:val="32"/>
        </w:rPr>
      </w:pPr>
      <w:r>
        <w:rPr>
          <w:rFonts w:ascii="仿宋_GB2312" w:hAnsi="仿宋_GB2312"/>
          <w:b/>
          <w:sz w:val="32"/>
          <w:szCs w:val="32"/>
        </w:rPr>
        <w:t>十二、项目支出：</w:t>
      </w:r>
      <w:r>
        <w:rPr>
          <w:rFonts w:ascii="仿宋_GB2312" w:hAnsi="仿宋_GB2312"/>
          <w:sz w:val="32"/>
          <w:szCs w:val="32"/>
        </w:rPr>
        <w:t>指单位为完成特定行政任务和事业发展目标在基本支出之外所发生的支出。</w:t>
      </w:r>
      <w:r>
        <w:rPr>
          <w:rFonts w:ascii="仿宋_GB2312" w:hAnsi="黑体"/>
          <w:sz w:val="32"/>
          <w:szCs w:val="32"/>
        </w:rPr>
        <w:br w:type="textWrapping"/>
      </w:r>
      <w:r>
        <w:rPr>
          <w:rFonts w:hint="eastAsia" w:ascii="仿宋_GB2312" w:hAnsi="黑体"/>
          <w:sz w:val="32"/>
          <w:szCs w:val="32"/>
          <w:lang w:val="en-US" w:eastAsia="zh-CN"/>
        </w:rPr>
        <w:t xml:space="preserve">    </w:t>
      </w:r>
      <w:r>
        <w:rPr>
          <w:rFonts w:ascii="仿宋_GB2312" w:hAnsi="仿宋_GB2312"/>
          <w:b/>
          <w:sz w:val="32"/>
          <w:szCs w:val="32"/>
        </w:rPr>
        <w:t>十三、经营支出：</w:t>
      </w:r>
      <w:r>
        <w:rPr>
          <w:rFonts w:ascii="仿宋_GB2312" w:hAnsi="仿宋_GB2312"/>
          <w:sz w:val="32"/>
          <w:szCs w:val="32"/>
        </w:rPr>
        <w:t>指事业单位在专业业务活动及其辅助活动之外开展非独立核算经营活动发生的支出。</w:t>
      </w:r>
    </w:p>
    <w:p w14:paraId="1560676D">
      <w:pPr>
        <w:pStyle w:val="5"/>
        <w:spacing w:before="0" w:beforeAutospacing="0" w:after="0" w:afterAutospacing="0" w:line="600" w:lineRule="exact"/>
        <w:ind w:firstLine="630" w:firstLineChars="196"/>
        <w:jc w:val="both"/>
        <w:rPr>
          <w:rFonts w:ascii="仿宋_GB2312" w:hAnsi="黑体"/>
          <w:b/>
          <w:sz w:val="32"/>
          <w:szCs w:val="32"/>
        </w:rPr>
      </w:pPr>
      <w:r>
        <w:rPr>
          <w:rFonts w:ascii="仿宋_GB2312" w:hAnsi="仿宋_GB2312"/>
          <w:b/>
          <w:sz w:val="32"/>
          <w:szCs w:val="32"/>
        </w:rPr>
        <w:t>十四、“三公”经费：</w:t>
      </w:r>
      <w:r>
        <w:rPr>
          <w:rFonts w:ascii="仿宋_GB2312" w:hAnsi="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14:paraId="495AED8E">
      <w:pPr>
        <w:pStyle w:val="5"/>
        <w:spacing w:before="0" w:beforeAutospacing="0" w:after="0" w:afterAutospacing="0" w:line="600" w:lineRule="exact"/>
        <w:ind w:firstLine="630" w:firstLineChars="196"/>
        <w:jc w:val="both"/>
        <w:rPr>
          <w:rFonts w:ascii="仿宋_GB2312" w:hAnsi="黑体"/>
          <w:b/>
          <w:sz w:val="32"/>
          <w:szCs w:val="32"/>
        </w:rPr>
      </w:pPr>
      <w:r>
        <w:rPr>
          <w:rFonts w:ascii="仿宋_GB2312" w:hAnsi="仿宋_GB2312"/>
          <w:b/>
          <w:sz w:val="32"/>
          <w:szCs w:val="32"/>
        </w:rPr>
        <w:t>十五、机关运行经费</w:t>
      </w:r>
      <w:r>
        <w:rPr>
          <w:rFonts w:ascii="仿宋_GB2312" w:hAnsi="仿宋_GB2312"/>
          <w:sz w:val="32"/>
          <w:szCs w:val="32"/>
        </w:rPr>
        <w:t>：指为保障行政单位（含参照公务员法管理的事业单位）运行用于购买货物和服务的各项资金</w:t>
      </w:r>
      <w:r>
        <w:rPr>
          <w:rFonts w:ascii="仿宋_GB2312" w:hAnsi="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7CFBAA68">
      <w:pPr>
        <w:rPr>
          <w:rFonts w:ascii="仿宋_GB2312" w:hAnsi="仿宋_GB2312"/>
        </w:rPr>
      </w:pPr>
      <w:r>
        <w:rPr>
          <w:rFonts w:hint="eastAsia" w:ascii="黑体" w:hAnsi="黑体" w:eastAsia="黑体"/>
        </w:rPr>
        <w:t>附件：</w:t>
      </w:r>
      <w:r>
        <w:rPr>
          <w:rFonts w:ascii="仿宋_GB2312" w:hAnsi="仿宋_GB2312"/>
        </w:rPr>
        <w:t>1.淮北市</w:t>
      </w:r>
      <w:r>
        <w:rPr>
          <w:rFonts w:hint="eastAsia" w:ascii="仿宋_GB2312" w:hAnsi="仿宋_GB2312"/>
        </w:rPr>
        <w:t>水产技术中心</w:t>
      </w:r>
      <w:r>
        <w:rPr>
          <w:rFonts w:ascii="仿宋_GB2312" w:hAnsi="仿宋_GB2312"/>
        </w:rPr>
        <w:t>2023年度</w:t>
      </w:r>
      <w:r>
        <w:rPr>
          <w:rFonts w:hint="eastAsia" w:ascii="仿宋_GB2312" w:hAnsi="仿宋_GB2312"/>
          <w:lang w:eastAsia="zh-CN"/>
        </w:rPr>
        <w:t>单位</w:t>
      </w:r>
      <w:r>
        <w:rPr>
          <w:rFonts w:ascii="仿宋_GB2312" w:hAnsi="仿宋_GB2312"/>
        </w:rPr>
        <w:t>决算</w:t>
      </w:r>
      <w:r>
        <w:rPr>
          <w:rFonts w:hint="eastAsia" w:ascii="宋体" w:hAnsi="宋体" w:eastAsia="宋体" w:cs="宋体"/>
        </w:rPr>
        <w:t>表</w:t>
      </w:r>
    </w:p>
    <w:p w14:paraId="0EC8A5E1">
      <w:pPr>
        <w:ind w:firstLine="960" w:firstLineChars="300"/>
        <w:rPr>
          <w:rFonts w:ascii="仿宋" w:hAnsi="仿宋" w:eastAsia="仿宋"/>
          <w:bCs/>
        </w:rPr>
      </w:pPr>
      <w:r>
        <w:rPr>
          <w:rFonts w:ascii="仿宋_GB2312" w:hAnsi="仿宋_GB2312"/>
        </w:rPr>
        <w:t>2.2023年度项目支出绩效自评</w:t>
      </w:r>
      <w:r>
        <w:rPr>
          <w:rFonts w:hint="eastAsia" w:ascii="宋体" w:hAnsi="宋体" w:eastAsia="宋体" w:cs="宋体"/>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C4E09"/>
    <w:multiLevelType w:val="multilevel"/>
    <w:tmpl w:val="2AAC4E09"/>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NlZTg3NTlhNjBkZjYwM2U4NWIzMTRlMDlmYjQxMDcifQ=="/>
  </w:docVars>
  <w:rsids>
    <w:rsidRoot w:val="006A20AE"/>
    <w:rsid w:val="00011783"/>
    <w:rsid w:val="00085371"/>
    <w:rsid w:val="00133387"/>
    <w:rsid w:val="00162A52"/>
    <w:rsid w:val="001F1064"/>
    <w:rsid w:val="003D4247"/>
    <w:rsid w:val="00637FA6"/>
    <w:rsid w:val="00655EA6"/>
    <w:rsid w:val="006A20AE"/>
    <w:rsid w:val="00757FDA"/>
    <w:rsid w:val="00820F67"/>
    <w:rsid w:val="009377E7"/>
    <w:rsid w:val="00B17CB4"/>
    <w:rsid w:val="00C948D6"/>
    <w:rsid w:val="00D03B68"/>
    <w:rsid w:val="00D731EE"/>
    <w:rsid w:val="00FE093F"/>
    <w:rsid w:val="017E0CD4"/>
    <w:rsid w:val="027427F8"/>
    <w:rsid w:val="036068E4"/>
    <w:rsid w:val="06200092"/>
    <w:rsid w:val="09976DD7"/>
    <w:rsid w:val="09DB3168"/>
    <w:rsid w:val="0C3E3343"/>
    <w:rsid w:val="0CD143AE"/>
    <w:rsid w:val="0F803E6A"/>
    <w:rsid w:val="107C0AD5"/>
    <w:rsid w:val="10CF6E57"/>
    <w:rsid w:val="12F713A1"/>
    <w:rsid w:val="14A70A20"/>
    <w:rsid w:val="184E7FB9"/>
    <w:rsid w:val="18826EA4"/>
    <w:rsid w:val="1A444411"/>
    <w:rsid w:val="1B5C578B"/>
    <w:rsid w:val="1C282642"/>
    <w:rsid w:val="1C80194D"/>
    <w:rsid w:val="20F16975"/>
    <w:rsid w:val="23150780"/>
    <w:rsid w:val="23DB2D11"/>
    <w:rsid w:val="240F5A90"/>
    <w:rsid w:val="24A0493A"/>
    <w:rsid w:val="25F56F08"/>
    <w:rsid w:val="261E020C"/>
    <w:rsid w:val="27F77A15"/>
    <w:rsid w:val="2D83304B"/>
    <w:rsid w:val="2E2530F8"/>
    <w:rsid w:val="2EB53C6F"/>
    <w:rsid w:val="303625F7"/>
    <w:rsid w:val="32E225C2"/>
    <w:rsid w:val="350825B2"/>
    <w:rsid w:val="362A675A"/>
    <w:rsid w:val="369D23B3"/>
    <w:rsid w:val="371511B8"/>
    <w:rsid w:val="37D270A9"/>
    <w:rsid w:val="390E5EBF"/>
    <w:rsid w:val="3AAA7E69"/>
    <w:rsid w:val="3BD01B51"/>
    <w:rsid w:val="3D5A1AD8"/>
    <w:rsid w:val="40416B7A"/>
    <w:rsid w:val="409E221E"/>
    <w:rsid w:val="42562684"/>
    <w:rsid w:val="447D214A"/>
    <w:rsid w:val="4545710C"/>
    <w:rsid w:val="46900FBA"/>
    <w:rsid w:val="47835CCA"/>
    <w:rsid w:val="4A1B043B"/>
    <w:rsid w:val="4B09298A"/>
    <w:rsid w:val="4B4847DA"/>
    <w:rsid w:val="4C1811EE"/>
    <w:rsid w:val="4CF907DC"/>
    <w:rsid w:val="4DE4148C"/>
    <w:rsid w:val="4FA90297"/>
    <w:rsid w:val="500E459E"/>
    <w:rsid w:val="506D5769"/>
    <w:rsid w:val="50AF5D81"/>
    <w:rsid w:val="50E377D9"/>
    <w:rsid w:val="52C673B2"/>
    <w:rsid w:val="54AD082A"/>
    <w:rsid w:val="550D369E"/>
    <w:rsid w:val="554D7917"/>
    <w:rsid w:val="58EA204C"/>
    <w:rsid w:val="59967ADE"/>
    <w:rsid w:val="5AD563E4"/>
    <w:rsid w:val="5CC606DB"/>
    <w:rsid w:val="5D4840B2"/>
    <w:rsid w:val="5E316028"/>
    <w:rsid w:val="5EEE3F19"/>
    <w:rsid w:val="5F3F4774"/>
    <w:rsid w:val="63EB6C79"/>
    <w:rsid w:val="689478DF"/>
    <w:rsid w:val="68E02B24"/>
    <w:rsid w:val="6962178B"/>
    <w:rsid w:val="6A6B466F"/>
    <w:rsid w:val="6E865F1C"/>
    <w:rsid w:val="71B6492A"/>
    <w:rsid w:val="74AE3AD6"/>
    <w:rsid w:val="74C36E61"/>
    <w:rsid w:val="7789232A"/>
    <w:rsid w:val="78570929"/>
    <w:rsid w:val="79C142AC"/>
    <w:rsid w:val="7C310825"/>
    <w:rsid w:val="7DA737B9"/>
    <w:rsid w:val="7E611BB9"/>
    <w:rsid w:val="7F9B1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jc w:val="center"/>
    </w:pPr>
    <w:rPr>
      <w:rFonts w:eastAsia="黑体"/>
      <w:sz w:val="36"/>
      <w:szCs w:val="36"/>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正文文本 Char"/>
    <w:basedOn w:val="7"/>
    <w:link w:val="2"/>
    <w:qFormat/>
    <w:uiPriority w:val="99"/>
    <w:rPr>
      <w:rFonts w:ascii="Times New Roman" w:hAnsi="Times New Roman" w:eastAsia="黑体" w:cs="Times New Roman"/>
      <w:sz w:val="36"/>
      <w:szCs w:val="36"/>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rFonts w:eastAsia="仿宋_GB2312"/>
      <w:kern w:val="2"/>
      <w:sz w:val="18"/>
      <w:szCs w:val="18"/>
    </w:rPr>
  </w:style>
  <w:style w:type="character" w:customStyle="1" w:styleId="11">
    <w:name w:val="页脚 Char"/>
    <w:basedOn w:val="7"/>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3556</Words>
  <Characters>3981</Characters>
  <Lines>46</Lines>
  <Paragraphs>13</Paragraphs>
  <TotalTime>5</TotalTime>
  <ScaleCrop>false</ScaleCrop>
  <LinksUpToDate>false</LinksUpToDate>
  <CharactersWithSpaces>3988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2024-09-13T01:26:00Z</dcterms:created>
  <dc:creator>PC</dc:creator>
  <cp:lastModifiedBy>羊一只</cp:lastModifiedBy>
  <dcterms:modified xsi:type="dcterms:W3CDTF">2024-12-13T00:53:01Z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A7A1F18CDFAA48569F91F456AEB13AD6_12</vt:lpwstr>
  </property>
</Properties>
</file>