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C4" w:rsidRPr="00E907C4" w:rsidRDefault="00E907C4" w:rsidP="00E907C4">
      <w:pPr>
        <w:spacing w:line="560" w:lineRule="exact"/>
        <w:rPr>
          <w:rFonts w:ascii="TimesNewRoman" w:eastAsia="黑体" w:hAnsi="TimesNewRoman" w:cs="TimesNewRoman"/>
          <w:szCs w:val="32"/>
        </w:rPr>
      </w:pPr>
      <w:r w:rsidRPr="00E907C4">
        <w:rPr>
          <w:rFonts w:ascii="TimesNewRoman" w:eastAsia="黑体" w:hAnsi="TimesNewRoman" w:cs="TimesNewRoman" w:hint="eastAsia"/>
          <w:szCs w:val="32"/>
        </w:rPr>
        <w:t>附件</w:t>
      </w:r>
      <w:r w:rsidRPr="00E907C4">
        <w:rPr>
          <w:rFonts w:ascii="TimesNewRoman" w:eastAsia="黑体" w:hAnsi="TimesNewRoman" w:cs="TimesNewRoman" w:hint="eastAsia"/>
          <w:szCs w:val="32"/>
        </w:rPr>
        <w:t>1-1</w:t>
      </w:r>
    </w:p>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Pr="00E907C4" w:rsidRDefault="00E907C4" w:rsidP="00E907C4">
      <w:pPr>
        <w:spacing w:line="560" w:lineRule="exact"/>
        <w:jc w:val="center"/>
        <w:rPr>
          <w:rFonts w:ascii="TimesNewRoman" w:eastAsia="华文中宋" w:hAnsi="TimesNewRoman" w:cs="TimesNewRoman"/>
          <w:b/>
          <w:sz w:val="44"/>
          <w:szCs w:val="44"/>
        </w:rPr>
      </w:pPr>
      <w:r w:rsidRPr="00E907C4">
        <w:rPr>
          <w:rFonts w:ascii="TimesNewRoman" w:eastAsia="华文中宋" w:hAnsi="TimesNewRoman" w:cs="TimesNewRoman" w:hint="eastAsia"/>
          <w:b/>
          <w:sz w:val="44"/>
          <w:szCs w:val="44"/>
        </w:rPr>
        <w:t>淮北市</w:t>
      </w:r>
      <w:r w:rsidR="00DD7B61">
        <w:rPr>
          <w:rFonts w:ascii="TimesNewRoman" w:eastAsia="华文中宋" w:hAnsi="TimesNewRoman" w:cs="TimesNewRoman" w:hint="eastAsia"/>
          <w:b/>
          <w:sz w:val="44"/>
          <w:szCs w:val="44"/>
        </w:rPr>
        <w:t>农业综合行政执法支队</w:t>
      </w:r>
      <w:r w:rsidR="00DB2A5C">
        <w:rPr>
          <w:rFonts w:ascii="TimesNewRoman" w:eastAsia="华文中宋" w:hAnsi="TimesNewRoman" w:cs="TimesNewRoman" w:hint="eastAsia"/>
          <w:b/>
          <w:sz w:val="44"/>
          <w:szCs w:val="44"/>
        </w:rPr>
        <w:t>2024</w:t>
      </w:r>
      <w:r w:rsidRPr="00E907C4">
        <w:rPr>
          <w:rFonts w:ascii="TimesNewRoman" w:eastAsia="华文中宋" w:hAnsi="TimesNewRoman" w:cs="TimesNewRoman" w:hint="eastAsia"/>
          <w:b/>
          <w:sz w:val="44"/>
          <w:szCs w:val="44"/>
        </w:rPr>
        <w:t>年</w:t>
      </w:r>
    </w:p>
    <w:p w:rsidR="00E907C4" w:rsidRPr="00E907C4" w:rsidRDefault="00E907C4" w:rsidP="00E907C4">
      <w:pPr>
        <w:spacing w:line="560" w:lineRule="exact"/>
        <w:jc w:val="center"/>
        <w:rPr>
          <w:rFonts w:ascii="TimesNewRoman" w:eastAsia="华文中宋" w:hAnsi="TimesNewRoman" w:cs="TimesNewRoman"/>
          <w:b/>
          <w:sz w:val="44"/>
          <w:szCs w:val="44"/>
        </w:rPr>
      </w:pPr>
      <w:r w:rsidRPr="00E907C4">
        <w:rPr>
          <w:rFonts w:ascii="TimesNewRoman" w:eastAsia="华文中宋" w:hAnsi="TimesNewRoman" w:cs="TimesNewRoman" w:hint="eastAsia"/>
          <w:b/>
          <w:sz w:val="44"/>
          <w:szCs w:val="44"/>
        </w:rPr>
        <w:t>单位预算</w:t>
      </w:r>
    </w:p>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BD640A">
      <w:pPr>
        <w:pStyle w:val="a3"/>
        <w:adjustRightInd w:val="0"/>
        <w:snapToGrid w:val="0"/>
        <w:spacing w:line="560" w:lineRule="exact"/>
        <w:jc w:val="center"/>
        <w:rPr>
          <w:rFonts w:ascii="TimesNewRoman" w:eastAsia="黑体" w:hAnsi="TimesNewRoman" w:cs="TimesNewRoman"/>
          <w:bCs/>
          <w:sz w:val="44"/>
          <w:szCs w:val="44"/>
        </w:rPr>
      </w:pPr>
    </w:p>
    <w:p w:rsidR="00E907C4" w:rsidRPr="00E907C4" w:rsidRDefault="00DB2A5C" w:rsidP="00E907C4">
      <w:pPr>
        <w:pStyle w:val="a3"/>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2024</w:t>
      </w:r>
      <w:r w:rsidR="00E907C4" w:rsidRPr="00E907C4">
        <w:rPr>
          <w:rFonts w:ascii="TimesNewRoman" w:eastAsia="黑体" w:hAnsi="TimesNewRoman" w:cs="TimesNewRoman" w:hint="eastAsia"/>
          <w:bCs/>
          <w:sz w:val="44"/>
          <w:szCs w:val="44"/>
        </w:rPr>
        <w:t>年</w:t>
      </w:r>
      <w:r w:rsidR="00DD7B61">
        <w:rPr>
          <w:rFonts w:ascii="TimesNewRoman" w:eastAsia="黑体" w:hAnsi="TimesNewRoman" w:cs="TimesNewRoman" w:hint="eastAsia"/>
          <w:bCs/>
          <w:sz w:val="44"/>
          <w:szCs w:val="44"/>
        </w:rPr>
        <w:t>3</w:t>
      </w:r>
      <w:r w:rsidR="00E907C4" w:rsidRPr="00E907C4">
        <w:rPr>
          <w:rFonts w:ascii="TimesNewRoman" w:eastAsia="黑体" w:hAnsi="TimesNewRoman" w:cs="TimesNewRoman" w:hint="eastAsia"/>
          <w:bCs/>
          <w:sz w:val="44"/>
          <w:szCs w:val="44"/>
        </w:rPr>
        <w:t>月</w:t>
      </w:r>
    </w:p>
    <w:p w:rsidR="00E907C4" w:rsidRDefault="00E907C4" w:rsidP="00E907C4"/>
    <w:p w:rsidR="00E907C4" w:rsidRDefault="00E907C4" w:rsidP="00E907C4"/>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44"/>
          <w:szCs w:val="44"/>
        </w:rPr>
      </w:pPr>
      <w:r w:rsidRPr="00E907C4">
        <w:rPr>
          <w:rFonts w:ascii="TimesNewRoman" w:eastAsia="黑体" w:hAnsi="TimesNewRoman" w:cs="TimesNewRoman" w:hint="eastAsia"/>
          <w:bCs/>
          <w:sz w:val="44"/>
          <w:szCs w:val="44"/>
        </w:rPr>
        <w:lastRenderedPageBreak/>
        <w:t>目</w:t>
      </w:r>
      <w:r w:rsidRPr="00E907C4">
        <w:rPr>
          <w:rFonts w:ascii="TimesNewRoman" w:eastAsia="黑体" w:hAnsi="TimesNewRoman" w:cs="TimesNewRoman" w:hint="eastAsia"/>
          <w:bCs/>
          <w:sz w:val="44"/>
          <w:szCs w:val="44"/>
        </w:rPr>
        <w:t xml:space="preserve">  </w:t>
      </w:r>
      <w:r w:rsidRPr="00E907C4">
        <w:rPr>
          <w:rFonts w:ascii="TimesNewRoman" w:eastAsia="黑体" w:hAnsi="TimesNewRoman" w:cs="TimesNewRoman" w:hint="eastAsia"/>
          <w:bCs/>
          <w:sz w:val="44"/>
          <w:szCs w:val="44"/>
        </w:rPr>
        <w:t>录</w:t>
      </w:r>
    </w:p>
    <w:p w:rsidR="00E907C4" w:rsidRDefault="00E907C4" w:rsidP="00E907C4"/>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第一部分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部门（单位）概况</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主要职责</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部门（单位）预算构成</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 xml:space="preserve"> </w:t>
      </w:r>
      <w:r>
        <w:rPr>
          <w:rFonts w:ascii="TimesNewRoman" w:eastAsia="仿宋_GB2312" w:hAnsi="TimesNewRoman" w:cs="TimesNewRoman" w:hint="eastAsia"/>
          <w:bCs/>
          <w:sz w:val="32"/>
          <w:szCs w:val="32"/>
        </w:rPr>
        <w:t>、</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年度主要工作任务</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第二部分</w:t>
      </w:r>
      <w:r w:rsidRPr="00E907C4">
        <w:rPr>
          <w:rFonts w:ascii="TimesNewRoman" w:eastAsia="仿宋_GB2312" w:hAnsi="TimesNewRoman" w:cs="TimesNewRoman" w:hint="eastAsia"/>
          <w:b/>
          <w:sz w:val="32"/>
          <w:szCs w:val="32"/>
        </w:rPr>
        <w:t xml:space="preserve"> </w:t>
      </w:r>
      <w:r w:rsidR="00DB2A5C">
        <w:rPr>
          <w:rFonts w:ascii="TimesNewRoman" w:eastAsia="仿宋_GB2312" w:hAnsi="TimesNewRoman" w:cs="TimesNewRoman" w:hint="eastAsia"/>
          <w:b/>
          <w:sz w:val="32"/>
          <w:szCs w:val="32"/>
        </w:rPr>
        <w:t>2024</w:t>
      </w:r>
      <w:r w:rsidRPr="00E907C4">
        <w:rPr>
          <w:rFonts w:ascii="TimesNewRoman" w:eastAsia="仿宋_GB2312" w:hAnsi="TimesNewRoman" w:cs="TimesNewRoman" w:hint="eastAsia"/>
          <w:b/>
          <w:sz w:val="32"/>
          <w:szCs w:val="32"/>
        </w:rPr>
        <w:t>年部门（单位）预算表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DD7B61">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年收支总表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DD7B61">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年收入总表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DD7B61">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年支出总表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DD7B61">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年财政拨款收支总表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DD7B61">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年一般公共预算支出表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DD7B61">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年一般公共预算基本支出表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DD7B61">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年政府性基金预算支出表</w:t>
      </w:r>
    </w:p>
    <w:p w:rsidR="00E907C4" w:rsidRPr="00E907C4" w:rsidRDefault="00E907C4" w:rsidP="00BD640A">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DD7B61">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年国有资本经营预算支出表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DD7B61">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年项目支出表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DD7B61">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年政府采购支出表</w:t>
      </w:r>
    </w:p>
    <w:p w:rsid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DD7B61">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年政府购买服务支出表</w:t>
      </w:r>
    </w:p>
    <w:p w:rsidR="00BD640A" w:rsidRPr="00BD640A" w:rsidRDefault="00BD640A" w:rsidP="00BD640A">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12</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DD7B61">
        <w:rPr>
          <w:rFonts w:ascii="TimesNewRoman" w:eastAsia="仿宋_GB2312" w:hAnsi="TimesNewRoman" w:cs="TimesNewRoman" w:hint="eastAsia"/>
          <w:bCs/>
          <w:sz w:val="32"/>
          <w:szCs w:val="32"/>
        </w:rPr>
        <w:t>农业综合行政执法支队</w:t>
      </w:r>
      <w:r w:rsidRPr="00BD640A">
        <w:rPr>
          <w:rFonts w:ascii="TimesNewRoman" w:eastAsia="仿宋_GB2312" w:hAnsi="TimesNewRoman" w:cs="TimesNewRoman"/>
          <w:bCs/>
          <w:sz w:val="32"/>
          <w:szCs w:val="32"/>
        </w:rPr>
        <w:t>2024</w:t>
      </w:r>
      <w:r w:rsidRPr="00BD640A">
        <w:rPr>
          <w:rFonts w:ascii="TimesNewRoman" w:eastAsia="仿宋_GB2312" w:hAnsi="TimesNewRoman" w:cs="TimesNewRoman"/>
          <w:bCs/>
          <w:sz w:val="32"/>
          <w:szCs w:val="32"/>
        </w:rPr>
        <w:t>年通用资产配置支出表</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第三部分</w:t>
      </w:r>
      <w:r w:rsidRPr="00E907C4">
        <w:rPr>
          <w:rFonts w:ascii="TimesNewRoman" w:eastAsia="仿宋_GB2312" w:hAnsi="TimesNewRoman" w:cs="TimesNewRoman" w:hint="eastAsia"/>
          <w:b/>
          <w:sz w:val="32"/>
          <w:szCs w:val="32"/>
        </w:rPr>
        <w:t xml:space="preserve"> </w:t>
      </w:r>
      <w:r w:rsidR="00DB2A5C">
        <w:rPr>
          <w:rFonts w:ascii="TimesNewRoman" w:eastAsia="仿宋_GB2312" w:hAnsi="TimesNewRoman" w:cs="TimesNewRoman" w:hint="eastAsia"/>
          <w:b/>
          <w:sz w:val="32"/>
          <w:szCs w:val="32"/>
        </w:rPr>
        <w:t>2024</w:t>
      </w:r>
      <w:r w:rsidRPr="00E907C4">
        <w:rPr>
          <w:rFonts w:ascii="TimesNewRoman" w:eastAsia="仿宋_GB2312" w:hAnsi="TimesNewRoman" w:cs="TimesNewRoman" w:hint="eastAsia"/>
          <w:b/>
          <w:sz w:val="32"/>
          <w:szCs w:val="32"/>
        </w:rPr>
        <w:t>年部门（单位）预算情况说明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年收支总表的说明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年收入总表的说明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年支出总表的说明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4</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年财政拨款收支总表的说明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5</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年一般公共预算支出表的说明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6</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年一般公共预算基本支出表的说明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7</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年政府性基金预算支出表的说明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8</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年国有资本经营预算支出表的说明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9</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年项目支出表的说明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10</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年政府采购支出表的说明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11</w:t>
      </w:r>
      <w:r w:rsidRPr="00E907C4">
        <w:rPr>
          <w:rFonts w:ascii="TimesNewRoman" w:eastAsia="仿宋_GB2312" w:hAnsi="TimesNewRoman" w:cs="TimesNewRoman" w:hint="eastAsia"/>
          <w:bCs/>
          <w:sz w:val="32"/>
          <w:szCs w:val="32"/>
        </w:rPr>
        <w:t>、关于</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年政府购买服务支出表的说明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12</w:t>
      </w:r>
      <w:r w:rsidRPr="00E907C4">
        <w:rPr>
          <w:rFonts w:ascii="TimesNewRoman" w:eastAsia="仿宋_GB2312" w:hAnsi="TimesNewRoman" w:cs="TimesNewRoman" w:hint="eastAsia"/>
          <w:bCs/>
          <w:sz w:val="32"/>
          <w:szCs w:val="32"/>
        </w:rPr>
        <w:t>、其他重要事项情况说明</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第四部分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名词解释</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第五部分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其它公开事项</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sidRPr="00E907C4">
        <w:rPr>
          <w:rFonts w:ascii="TimesNewRoman" w:eastAsia="仿宋_GB2312" w:hAnsi="TimesNewRoman" w:cs="TimesNewRoman" w:hint="eastAsia"/>
          <w:bCs/>
          <w:sz w:val="32"/>
          <w:szCs w:val="32"/>
        </w:rPr>
        <w:t>、淮北市</w:t>
      </w:r>
      <w:r w:rsidR="0002032E">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年部门预算纳入绩效考评项目表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sidRPr="00E907C4">
        <w:rPr>
          <w:rFonts w:ascii="TimesNewRoman" w:eastAsia="仿宋_GB2312" w:hAnsi="TimesNewRoman" w:cs="TimesNewRoman" w:hint="eastAsia"/>
          <w:bCs/>
          <w:sz w:val="32"/>
          <w:szCs w:val="32"/>
        </w:rPr>
        <w:t>、淮北市</w:t>
      </w:r>
      <w:r w:rsidR="0002032E">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bCs/>
          <w:sz w:val="32"/>
          <w:szCs w:val="32"/>
        </w:rPr>
        <w:t>2024</w:t>
      </w:r>
      <w:r w:rsidRPr="00E907C4">
        <w:rPr>
          <w:rFonts w:ascii="TimesNewRoman" w:eastAsia="仿宋_GB2312" w:hAnsi="TimesNewRoman" w:cs="TimesNewRoman" w:hint="eastAsia"/>
          <w:bCs/>
          <w:sz w:val="32"/>
          <w:szCs w:val="32"/>
        </w:rPr>
        <w:t>年部门预算专项资金管理清单（专栏公开）</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lastRenderedPageBreak/>
        <w:t>第一部分</w:t>
      </w:r>
      <w:r w:rsidRPr="00E907C4">
        <w:rPr>
          <w:rFonts w:ascii="TimesNewRoman" w:eastAsia="黑体" w:hAnsi="TimesNewRoman" w:cs="TimesNewRoman" w:hint="eastAsia"/>
          <w:bCs/>
          <w:sz w:val="36"/>
          <w:szCs w:val="36"/>
        </w:rPr>
        <w:t xml:space="preserve"> </w:t>
      </w:r>
      <w:r w:rsidRPr="00E907C4">
        <w:rPr>
          <w:rFonts w:ascii="TimesNewRoman" w:eastAsia="黑体" w:hAnsi="TimesNewRoman" w:cs="TimesNewRoman" w:hint="eastAsia"/>
          <w:bCs/>
          <w:sz w:val="36"/>
          <w:szCs w:val="36"/>
        </w:rPr>
        <w:t>部门（单位）概况</w:t>
      </w:r>
    </w:p>
    <w:p w:rsidR="00E907C4" w:rsidRDefault="00E907C4" w:rsidP="00E907C4"/>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一、主要职责</w:t>
      </w:r>
    </w:p>
    <w:p w:rsidR="001263A2" w:rsidRDefault="001263A2" w:rsidP="0002032E">
      <w:pPr>
        <w:ind w:firstLineChars="200" w:firstLine="560"/>
        <w:rPr>
          <w:rFonts w:ascii="仿宋_GB2312" w:eastAsia="仿宋_GB2312"/>
          <w:sz w:val="28"/>
          <w:szCs w:val="28"/>
        </w:rPr>
      </w:pPr>
      <w:r>
        <w:rPr>
          <w:rFonts w:ascii="仿宋_GB2312" w:eastAsia="仿宋_GB2312" w:hint="eastAsia"/>
          <w:sz w:val="28"/>
          <w:szCs w:val="28"/>
        </w:rPr>
        <w:t>㈠</w:t>
      </w:r>
      <w:r w:rsidR="0002032E" w:rsidRPr="00023633">
        <w:rPr>
          <w:rFonts w:ascii="仿宋_GB2312" w:eastAsia="仿宋_GB2312" w:hint="eastAsia"/>
          <w:sz w:val="28"/>
          <w:szCs w:val="28"/>
        </w:rPr>
        <w:t>主要负责组织查处全市辖区内跨区域和具有全市影响的重大复杂案件以及法律法规直接赋予市级权限的执法职责；</w:t>
      </w:r>
    </w:p>
    <w:p w:rsidR="001263A2" w:rsidRDefault="001263A2" w:rsidP="0002032E">
      <w:pPr>
        <w:ind w:firstLineChars="200" w:firstLine="560"/>
        <w:rPr>
          <w:rFonts w:ascii="仿宋_GB2312" w:eastAsia="仿宋_GB2312"/>
          <w:sz w:val="28"/>
          <w:szCs w:val="28"/>
        </w:rPr>
      </w:pPr>
      <w:r>
        <w:rPr>
          <w:rFonts w:ascii="仿宋_GB2312" w:eastAsia="仿宋_GB2312" w:hint="eastAsia"/>
          <w:sz w:val="28"/>
          <w:szCs w:val="28"/>
        </w:rPr>
        <w:t>㈡</w:t>
      </w:r>
      <w:r w:rsidR="0002032E" w:rsidRPr="00023633">
        <w:rPr>
          <w:rFonts w:ascii="仿宋_GB2312" w:eastAsia="仿宋_GB2312" w:hint="eastAsia"/>
          <w:sz w:val="28"/>
          <w:szCs w:val="28"/>
        </w:rPr>
        <w:t>负责相山、杜集、烈山辖区内农业综合行政执法工作；</w:t>
      </w:r>
    </w:p>
    <w:p w:rsidR="0002032E" w:rsidRPr="00023633" w:rsidRDefault="001263A2" w:rsidP="0002032E">
      <w:pPr>
        <w:ind w:firstLineChars="200" w:firstLine="560"/>
        <w:rPr>
          <w:rFonts w:ascii="仿宋_GB2312" w:eastAsia="仿宋_GB2312"/>
          <w:sz w:val="28"/>
          <w:szCs w:val="28"/>
        </w:rPr>
      </w:pPr>
      <w:r>
        <w:rPr>
          <w:rFonts w:ascii="仿宋_GB2312" w:eastAsia="仿宋_GB2312" w:hint="eastAsia"/>
          <w:sz w:val="28"/>
          <w:szCs w:val="28"/>
        </w:rPr>
        <w:t>㈢</w:t>
      </w:r>
      <w:r w:rsidR="0002032E" w:rsidRPr="00023633">
        <w:rPr>
          <w:rFonts w:ascii="仿宋_GB2312" w:eastAsia="仿宋_GB2312" w:hint="eastAsia"/>
          <w:sz w:val="28"/>
          <w:szCs w:val="28"/>
        </w:rPr>
        <w:t>负责组织本行政区域内的农业执法人员和涉农生产、经营业主进行法律法规宣传培训等工作。</w:t>
      </w:r>
    </w:p>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二、部门（单位）预算构成</w:t>
      </w:r>
    </w:p>
    <w:p w:rsidR="00E907C4" w:rsidRPr="00E907C4" w:rsidRDefault="00E907C4" w:rsidP="00E907C4">
      <w:pPr>
        <w:pStyle w:val="a3"/>
        <w:adjustRightInd w:val="0"/>
        <w:snapToGrid w:val="0"/>
        <w:spacing w:line="560" w:lineRule="exact"/>
        <w:ind w:firstLineChars="196" w:firstLine="627"/>
        <w:rPr>
          <w:rFonts w:ascii="TimesNewRoman" w:eastAsia="仿宋_GB2312" w:hAnsi="TimesNewRoman" w:cs="TimesNewRoman"/>
          <w:sz w:val="32"/>
          <w:szCs w:val="32"/>
        </w:rPr>
      </w:pPr>
      <w:r w:rsidRPr="00E907C4">
        <w:rPr>
          <w:rFonts w:ascii="TimesNewRoman" w:eastAsia="仿宋_GB2312" w:hAnsi="TimesNewRoman" w:cs="TimesNewRoman" w:hint="eastAsia"/>
          <w:sz w:val="32"/>
          <w:szCs w:val="32"/>
        </w:rPr>
        <w:t>从预算单位构成看，</w:t>
      </w:r>
      <w:r w:rsidRPr="00E907C4">
        <w:rPr>
          <w:rFonts w:ascii="TimesNewRoman" w:eastAsia="仿宋_GB2312" w:hAnsi="TimesNewRoman" w:cs="TimesNewRoman" w:hint="eastAsia"/>
          <w:bCs/>
          <w:sz w:val="32"/>
          <w:szCs w:val="32"/>
        </w:rPr>
        <w:t>淮北市</w:t>
      </w:r>
      <w:r w:rsidR="0002032E">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sz w:val="32"/>
          <w:szCs w:val="32"/>
        </w:rPr>
        <w:t>2024</w:t>
      </w:r>
      <w:r w:rsidRPr="00E907C4">
        <w:rPr>
          <w:rFonts w:ascii="TimesNewRoman" w:eastAsia="仿宋_GB2312" w:hAnsi="TimesNewRoman" w:cs="TimesNewRoman" w:hint="eastAsia"/>
          <w:sz w:val="32"/>
          <w:szCs w:val="32"/>
        </w:rPr>
        <w:t>年度部门预算仅包括</w:t>
      </w:r>
      <w:r w:rsidR="0002032E">
        <w:rPr>
          <w:rFonts w:ascii="TimesNewRoman" w:eastAsia="仿宋_GB2312" w:hAnsi="TimesNewRoman" w:cs="TimesNewRoman" w:hint="eastAsia"/>
          <w:sz w:val="32"/>
          <w:szCs w:val="32"/>
        </w:rPr>
        <w:t>支队</w:t>
      </w:r>
      <w:r w:rsidRPr="00E907C4">
        <w:rPr>
          <w:rFonts w:ascii="TimesNewRoman" w:eastAsia="仿宋_GB2312" w:hAnsi="TimesNewRoman" w:cs="TimesNewRoman" w:hint="eastAsia"/>
          <w:sz w:val="32"/>
          <w:szCs w:val="32"/>
        </w:rPr>
        <w:t>本级预算，无其他下属单位预算。</w:t>
      </w:r>
    </w:p>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三、</w:t>
      </w:r>
      <w:r w:rsidR="00DB2A5C">
        <w:rPr>
          <w:rFonts w:ascii="TimesNewRoman" w:eastAsia="黑体" w:hAnsi="TimesNewRoman" w:cs="TimesNewRoman" w:hint="eastAsia"/>
          <w:bCs/>
          <w:sz w:val="32"/>
          <w:szCs w:val="32"/>
        </w:rPr>
        <w:t>2024</w:t>
      </w:r>
      <w:r w:rsidRPr="00E907C4">
        <w:rPr>
          <w:rFonts w:ascii="TimesNewRoman" w:eastAsia="黑体" w:hAnsi="TimesNewRoman" w:cs="TimesNewRoman" w:hint="eastAsia"/>
          <w:bCs/>
          <w:sz w:val="32"/>
          <w:szCs w:val="32"/>
        </w:rPr>
        <w:t>年度主要工作任务</w:t>
      </w:r>
    </w:p>
    <w:p w:rsidR="00B57F18" w:rsidRPr="00934A37" w:rsidRDefault="001263A2" w:rsidP="00B57F18">
      <w:pPr>
        <w:spacing w:line="560" w:lineRule="exact"/>
        <w:ind w:firstLineChars="200" w:firstLine="640"/>
        <w:rPr>
          <w:rFonts w:ascii="黑体" w:eastAsia="黑体" w:hAnsi="黑体"/>
          <w:sz w:val="32"/>
          <w:szCs w:val="32"/>
        </w:rPr>
      </w:pPr>
      <w:r>
        <w:rPr>
          <w:rFonts w:ascii="黑体" w:eastAsia="黑体" w:hAnsi="黑体" w:hint="eastAsia"/>
          <w:sz w:val="32"/>
          <w:szCs w:val="32"/>
        </w:rPr>
        <w:t>㈠</w:t>
      </w:r>
      <w:r w:rsidR="00B57F18" w:rsidRPr="00934A37">
        <w:rPr>
          <w:rFonts w:ascii="黑体" w:eastAsia="黑体" w:hAnsi="黑体" w:hint="eastAsia"/>
          <w:sz w:val="32"/>
          <w:szCs w:val="32"/>
        </w:rPr>
        <w:t>加强执法管理，规范执法行为</w:t>
      </w:r>
    </w:p>
    <w:p w:rsidR="00B57F18" w:rsidRDefault="001263A2" w:rsidP="00B57F18">
      <w:pPr>
        <w:spacing w:line="560" w:lineRule="exact"/>
        <w:ind w:firstLineChars="200" w:firstLine="640"/>
        <w:rPr>
          <w:rFonts w:ascii="仿宋_GB2312" w:eastAsia="仿宋_GB2312"/>
          <w:sz w:val="32"/>
          <w:szCs w:val="32"/>
        </w:rPr>
      </w:pPr>
      <w:r>
        <w:rPr>
          <w:rFonts w:ascii="楷体_GB2312" w:eastAsia="楷体_GB2312" w:hAnsi="黑体" w:hint="eastAsia"/>
          <w:sz w:val="32"/>
          <w:szCs w:val="32"/>
        </w:rPr>
        <w:t>⒈</w:t>
      </w:r>
      <w:r w:rsidR="00B57F18" w:rsidRPr="00934A37">
        <w:rPr>
          <w:rFonts w:ascii="楷体_GB2312" w:eastAsia="楷体_GB2312" w:hAnsi="黑体" w:hint="eastAsia"/>
          <w:sz w:val="32"/>
          <w:szCs w:val="32"/>
        </w:rPr>
        <w:t>加强执法培训。</w:t>
      </w:r>
      <w:r w:rsidR="00B57F18" w:rsidRPr="00934A37">
        <w:rPr>
          <w:rFonts w:ascii="仿宋_GB2312" w:eastAsia="仿宋_GB2312" w:hint="eastAsia"/>
          <w:sz w:val="32"/>
          <w:szCs w:val="32"/>
        </w:rPr>
        <w:t>加大农业行政执法培训投入力度，统筹培训资源、创新培训方式、提高培训质量，不断提高农业综合行政执法人员的思想政治素质、业务工作能力和职业道德水平</w:t>
      </w:r>
      <w:r w:rsidR="00B57F18">
        <w:rPr>
          <w:rFonts w:ascii="仿宋_GB2312" w:eastAsia="仿宋_GB2312" w:hint="eastAsia"/>
          <w:sz w:val="32"/>
          <w:szCs w:val="32"/>
        </w:rPr>
        <w:t>。组织</w:t>
      </w:r>
      <w:r w:rsidR="00B57F18" w:rsidRPr="009729A6">
        <w:rPr>
          <w:rFonts w:ascii="仿宋_GB2312" w:eastAsia="仿宋_GB2312"/>
          <w:sz w:val="32"/>
          <w:szCs w:val="32"/>
        </w:rPr>
        <w:t>遴选培训师资，评选办案能手，培养执法骨干，带动农业综合行政执法人员能力素质全面提升，</w:t>
      </w:r>
      <w:r w:rsidR="00B57F18">
        <w:rPr>
          <w:rFonts w:ascii="仿宋_GB2312" w:eastAsia="仿宋_GB2312"/>
          <w:sz w:val="32"/>
          <w:szCs w:val="32"/>
        </w:rPr>
        <w:t>努力</w:t>
      </w:r>
      <w:r w:rsidR="00B57F18" w:rsidRPr="009729A6">
        <w:rPr>
          <w:rFonts w:ascii="仿宋_GB2312" w:eastAsia="仿宋_GB2312"/>
          <w:sz w:val="32"/>
          <w:szCs w:val="32"/>
        </w:rPr>
        <w:t>打造一支专业化、职业化、现代化的农业综合行政执法队伍。</w:t>
      </w:r>
    </w:p>
    <w:p w:rsidR="00B57F18" w:rsidRPr="00706814" w:rsidRDefault="001263A2" w:rsidP="00B57F18">
      <w:pPr>
        <w:spacing w:line="560" w:lineRule="exact"/>
        <w:ind w:firstLineChars="200" w:firstLine="640"/>
        <w:rPr>
          <w:rFonts w:ascii="仿宋_GB2312" w:eastAsia="仿宋_GB2312"/>
          <w:sz w:val="32"/>
          <w:szCs w:val="32"/>
        </w:rPr>
      </w:pPr>
      <w:r>
        <w:rPr>
          <w:rFonts w:ascii="楷体_GB2312" w:eastAsia="楷体_GB2312" w:hAnsi="黑体" w:hint="eastAsia"/>
          <w:sz w:val="32"/>
          <w:szCs w:val="32"/>
        </w:rPr>
        <w:t>⒉</w:t>
      </w:r>
      <w:r w:rsidR="00B57F18" w:rsidRPr="00934A37">
        <w:rPr>
          <w:rFonts w:ascii="楷体_GB2312" w:eastAsia="楷体_GB2312" w:hAnsi="黑体" w:hint="eastAsia"/>
          <w:sz w:val="32"/>
          <w:szCs w:val="32"/>
        </w:rPr>
        <w:t>落实“三项制度”。</w:t>
      </w:r>
      <w:r w:rsidR="00B57F18" w:rsidRPr="009729A6">
        <w:rPr>
          <w:rFonts w:ascii="仿宋_GB2312" w:eastAsia="仿宋_GB2312" w:hint="eastAsia"/>
          <w:sz w:val="32"/>
          <w:szCs w:val="32"/>
        </w:rPr>
        <w:t>强化</w:t>
      </w:r>
      <w:r w:rsidR="00B57F18">
        <w:rPr>
          <w:rFonts w:ascii="仿宋_GB2312" w:eastAsia="仿宋_GB2312" w:hint="eastAsia"/>
          <w:sz w:val="32"/>
          <w:szCs w:val="32"/>
        </w:rPr>
        <w:t>落实“三项制度”</w:t>
      </w:r>
      <w:r w:rsidR="00B57F18" w:rsidRPr="00706814">
        <w:rPr>
          <w:rFonts w:ascii="仿宋_GB2312" w:eastAsia="仿宋_GB2312" w:hint="eastAsia"/>
          <w:sz w:val="32"/>
          <w:szCs w:val="32"/>
        </w:rPr>
        <w:t>，</w:t>
      </w:r>
      <w:r w:rsidR="00B57F18">
        <w:rPr>
          <w:rFonts w:ascii="仿宋_GB2312" w:eastAsia="仿宋_GB2312" w:hint="eastAsia"/>
          <w:sz w:val="32"/>
          <w:szCs w:val="32"/>
        </w:rPr>
        <w:t>对</w:t>
      </w:r>
      <w:r w:rsidR="00B57F18" w:rsidRPr="00706814">
        <w:rPr>
          <w:rFonts w:ascii="仿宋_GB2312" w:eastAsia="仿宋_GB2312" w:hint="eastAsia"/>
          <w:sz w:val="32"/>
          <w:szCs w:val="32"/>
        </w:rPr>
        <w:t>执法机构职能职责、机构人员、执法事项清单</w:t>
      </w:r>
      <w:r w:rsidR="00B57F18">
        <w:rPr>
          <w:rFonts w:ascii="仿宋_GB2312" w:eastAsia="仿宋_GB2312" w:hint="eastAsia"/>
          <w:sz w:val="32"/>
          <w:szCs w:val="32"/>
        </w:rPr>
        <w:t>进行</w:t>
      </w:r>
      <w:r w:rsidR="00B57F18" w:rsidRPr="00706814">
        <w:rPr>
          <w:rFonts w:ascii="仿宋_GB2312" w:eastAsia="仿宋_GB2312" w:hint="eastAsia"/>
          <w:sz w:val="32"/>
          <w:szCs w:val="32"/>
        </w:rPr>
        <w:t>公开公示；制定行政处罚流程图，</w:t>
      </w:r>
      <w:r w:rsidR="00B57F18" w:rsidRPr="00706814">
        <w:rPr>
          <w:rFonts w:ascii="仿宋_GB2312" w:eastAsia="仿宋_GB2312" w:hint="eastAsia"/>
          <w:sz w:val="32"/>
          <w:szCs w:val="32"/>
        </w:rPr>
        <w:lastRenderedPageBreak/>
        <w:t>严格规范公正文明执法，</w:t>
      </w:r>
      <w:r w:rsidR="00B57F18">
        <w:rPr>
          <w:rFonts w:ascii="仿宋_GB2312" w:eastAsia="仿宋_GB2312" w:hint="eastAsia"/>
          <w:sz w:val="32"/>
          <w:szCs w:val="32"/>
        </w:rPr>
        <w:t>确保行政执法全过程留痕、可追溯</w:t>
      </w:r>
      <w:r w:rsidR="00B57F18" w:rsidRPr="00706814">
        <w:rPr>
          <w:rFonts w:ascii="仿宋_GB2312" w:eastAsia="仿宋_GB2312" w:hint="eastAsia"/>
          <w:sz w:val="32"/>
          <w:szCs w:val="32"/>
        </w:rPr>
        <w:t>，加强和规范行政执法行为，</w:t>
      </w:r>
      <w:r w:rsidR="00B57F18">
        <w:rPr>
          <w:rFonts w:ascii="仿宋_GB2312" w:eastAsia="仿宋_GB2312" w:hint="eastAsia"/>
          <w:sz w:val="32"/>
          <w:szCs w:val="32"/>
        </w:rPr>
        <w:t>落实重大</w:t>
      </w:r>
      <w:r w:rsidR="00B57F18" w:rsidRPr="00706814">
        <w:rPr>
          <w:rFonts w:ascii="仿宋_GB2312" w:eastAsia="仿宋_GB2312" w:hint="eastAsia"/>
          <w:sz w:val="32"/>
          <w:szCs w:val="32"/>
        </w:rPr>
        <w:t>行政执法决定法制审核制度</w:t>
      </w:r>
      <w:r w:rsidR="00B57F18">
        <w:rPr>
          <w:rFonts w:ascii="仿宋_GB2312" w:eastAsia="仿宋_GB2312" w:hint="eastAsia"/>
          <w:sz w:val="32"/>
          <w:szCs w:val="32"/>
        </w:rPr>
        <w:t>，</w:t>
      </w:r>
      <w:r w:rsidR="00B57F18" w:rsidRPr="00706814">
        <w:rPr>
          <w:rFonts w:ascii="仿宋_GB2312" w:eastAsia="仿宋_GB2312" w:hint="eastAsia"/>
          <w:sz w:val="32"/>
          <w:szCs w:val="32"/>
        </w:rPr>
        <w:t>切实保障行政相对人的合法权益。</w:t>
      </w:r>
    </w:p>
    <w:p w:rsidR="00B57F18" w:rsidRPr="00934A37" w:rsidRDefault="001263A2" w:rsidP="00B57F18">
      <w:pPr>
        <w:spacing w:line="560" w:lineRule="exact"/>
        <w:ind w:firstLineChars="200" w:firstLine="640"/>
        <w:rPr>
          <w:rFonts w:ascii="黑体" w:eastAsia="黑体" w:hAnsi="黑体"/>
          <w:sz w:val="32"/>
          <w:szCs w:val="32"/>
        </w:rPr>
      </w:pPr>
      <w:r>
        <w:rPr>
          <w:rFonts w:ascii="黑体" w:eastAsia="黑体" w:hAnsi="黑体" w:hint="eastAsia"/>
          <w:sz w:val="32"/>
          <w:szCs w:val="32"/>
        </w:rPr>
        <w:t>㈡</w:t>
      </w:r>
      <w:r w:rsidR="00B57F18" w:rsidRPr="00934A37">
        <w:rPr>
          <w:rFonts w:ascii="黑体" w:eastAsia="黑体" w:hAnsi="黑体" w:hint="eastAsia"/>
          <w:sz w:val="32"/>
          <w:szCs w:val="32"/>
        </w:rPr>
        <w:t>聚焦办案主业，查处违法行为</w:t>
      </w:r>
    </w:p>
    <w:p w:rsidR="00B57F18" w:rsidRPr="00706814" w:rsidRDefault="001263A2" w:rsidP="00B57F18">
      <w:pPr>
        <w:spacing w:line="560" w:lineRule="exact"/>
        <w:ind w:firstLineChars="200" w:firstLine="640"/>
        <w:rPr>
          <w:rFonts w:ascii="仿宋_GB2312" w:eastAsia="仿宋_GB2312"/>
          <w:sz w:val="32"/>
          <w:szCs w:val="32"/>
        </w:rPr>
      </w:pPr>
      <w:r>
        <w:rPr>
          <w:rFonts w:ascii="楷体_GB2312" w:eastAsia="楷体_GB2312" w:hAnsi="黑体" w:hint="eastAsia"/>
          <w:sz w:val="32"/>
          <w:szCs w:val="32"/>
        </w:rPr>
        <w:t>⒈</w:t>
      </w:r>
      <w:r w:rsidR="00B57F18" w:rsidRPr="00934A37">
        <w:rPr>
          <w:rFonts w:ascii="楷体_GB2312" w:eastAsia="楷体_GB2312" w:hAnsi="黑体" w:hint="eastAsia"/>
          <w:sz w:val="32"/>
          <w:szCs w:val="32"/>
        </w:rPr>
        <w:t>加大检查力度。</w:t>
      </w:r>
      <w:r w:rsidR="00B57F18" w:rsidRPr="00706814">
        <w:rPr>
          <w:rFonts w:ascii="仿宋_GB2312" w:eastAsia="仿宋_GB2312" w:hint="eastAsia"/>
          <w:sz w:val="32"/>
          <w:szCs w:val="32"/>
        </w:rPr>
        <w:t>执法办案是农业综合行政执法队伍的主责主业，积极主动作为，实现全领域执法；对上级交办督办、群众投诉举报、巡查检查发现和移送线索的案件，做到100%核查、100%反馈、100%结案。</w:t>
      </w:r>
    </w:p>
    <w:p w:rsidR="00B57F18" w:rsidRPr="00706814" w:rsidRDefault="001263A2" w:rsidP="00B57F18">
      <w:pPr>
        <w:spacing w:line="560" w:lineRule="exact"/>
        <w:ind w:firstLineChars="200" w:firstLine="640"/>
        <w:rPr>
          <w:rFonts w:ascii="仿宋_GB2312" w:eastAsia="仿宋_GB2312"/>
          <w:sz w:val="32"/>
          <w:szCs w:val="32"/>
        </w:rPr>
      </w:pPr>
      <w:r>
        <w:rPr>
          <w:rFonts w:ascii="楷体_GB2312" w:eastAsia="楷体_GB2312" w:hAnsi="黑体" w:hint="eastAsia"/>
          <w:sz w:val="32"/>
          <w:szCs w:val="32"/>
        </w:rPr>
        <w:t>⒉</w:t>
      </w:r>
      <w:r w:rsidR="00B57F18" w:rsidRPr="00934A37">
        <w:rPr>
          <w:rFonts w:ascii="楷体_GB2312" w:eastAsia="楷体_GB2312" w:hAnsi="黑体" w:hint="eastAsia"/>
          <w:sz w:val="32"/>
          <w:szCs w:val="32"/>
        </w:rPr>
        <w:t>开展“检打联合”。</w:t>
      </w:r>
      <w:r w:rsidR="00B57F18" w:rsidRPr="00706814">
        <w:rPr>
          <w:rFonts w:ascii="仿宋_GB2312" w:eastAsia="仿宋_GB2312" w:hint="eastAsia"/>
          <w:sz w:val="32"/>
          <w:szCs w:val="32"/>
        </w:rPr>
        <w:t>开展部门协作、市县(区)联动、检打联合、形成“一地发现，全市联打”的执法联动机制。坚持标本兼治、打防结合、部门协同，突出问题导向、精准执法，严厉打击农资领域违法违规行为，维护农资市场秩序，净化农资市场环境，保障农民用上放心农资。</w:t>
      </w:r>
    </w:p>
    <w:p w:rsidR="00B57F18" w:rsidRPr="00706814" w:rsidRDefault="001263A2" w:rsidP="00B57F18">
      <w:pPr>
        <w:spacing w:line="560" w:lineRule="exact"/>
        <w:ind w:firstLineChars="200" w:firstLine="640"/>
        <w:rPr>
          <w:rFonts w:ascii="仿宋_GB2312" w:eastAsia="仿宋_GB2312"/>
          <w:sz w:val="32"/>
          <w:szCs w:val="32"/>
        </w:rPr>
      </w:pPr>
      <w:r>
        <w:rPr>
          <w:rFonts w:ascii="楷体_GB2312" w:eastAsia="楷体_GB2312" w:hAnsi="黑体" w:hint="eastAsia"/>
          <w:sz w:val="32"/>
          <w:szCs w:val="32"/>
        </w:rPr>
        <w:t>⒊</w:t>
      </w:r>
      <w:r w:rsidR="00B57F18" w:rsidRPr="00934A37">
        <w:rPr>
          <w:rFonts w:ascii="楷体_GB2312" w:eastAsia="楷体_GB2312" w:hAnsi="黑体" w:hint="eastAsia"/>
          <w:sz w:val="32"/>
          <w:szCs w:val="32"/>
        </w:rPr>
        <w:t>强化执法联动。</w:t>
      </w:r>
      <w:r w:rsidR="00B57F18" w:rsidRPr="00706814">
        <w:rPr>
          <w:rFonts w:ascii="仿宋_GB2312" w:eastAsia="仿宋_GB2312" w:hint="eastAsia"/>
          <w:sz w:val="32"/>
          <w:szCs w:val="32"/>
        </w:rPr>
        <w:t>强化与法院、检察院、市场监督局、公安局、</w:t>
      </w:r>
      <w:r w:rsidR="00962E37">
        <w:rPr>
          <w:rFonts w:ascii="仿宋_GB2312" w:eastAsia="仿宋_GB2312" w:hint="eastAsia"/>
          <w:sz w:val="32"/>
          <w:szCs w:val="32"/>
        </w:rPr>
        <w:t>自然资源和规划局</w:t>
      </w:r>
      <w:r w:rsidR="00B57F18" w:rsidRPr="00706814">
        <w:rPr>
          <w:rFonts w:ascii="仿宋_GB2312" w:eastAsia="仿宋_GB2312" w:hint="eastAsia"/>
          <w:sz w:val="32"/>
          <w:szCs w:val="32"/>
        </w:rPr>
        <w:t>、生态环境局等部门建立协作制度，加强部门联动，形成工作合力。发现可能涉嫌犯罪的案件或线索时，及时与</w:t>
      </w:r>
      <w:r w:rsidR="00B57F18">
        <w:rPr>
          <w:rFonts w:ascii="仿宋_GB2312" w:eastAsia="仿宋_GB2312" w:hint="eastAsia"/>
          <w:sz w:val="32"/>
          <w:szCs w:val="32"/>
        </w:rPr>
        <w:t>司法机关</w:t>
      </w:r>
      <w:r w:rsidR="00B57F18" w:rsidRPr="00706814">
        <w:rPr>
          <w:rFonts w:ascii="仿宋_GB2312" w:eastAsia="仿宋_GB2312" w:hint="eastAsia"/>
          <w:sz w:val="32"/>
          <w:szCs w:val="32"/>
        </w:rPr>
        <w:t>沟通联系，</w:t>
      </w:r>
      <w:r w:rsidR="00B57F18">
        <w:rPr>
          <w:rFonts w:ascii="仿宋_GB2312" w:eastAsia="仿宋_GB2312" w:hint="eastAsia"/>
          <w:sz w:val="32"/>
          <w:szCs w:val="32"/>
        </w:rPr>
        <w:t>按照规定</w:t>
      </w:r>
      <w:r w:rsidR="00B57F18" w:rsidRPr="00706814">
        <w:rPr>
          <w:rFonts w:ascii="仿宋_GB2312" w:eastAsia="仿宋_GB2312" w:hint="eastAsia"/>
          <w:sz w:val="32"/>
          <w:szCs w:val="32"/>
        </w:rPr>
        <w:t>移送。建立市县执法机构的指挥协调协作机制，形成了农业执法“一地发现、多方联动”的有效格局，实现市县执法办案协调联动，加大了违法案件查处力度。</w:t>
      </w:r>
    </w:p>
    <w:p w:rsidR="00B57F18" w:rsidRPr="00934A37" w:rsidRDefault="001263A2" w:rsidP="00B57F18">
      <w:pPr>
        <w:spacing w:line="560" w:lineRule="exact"/>
        <w:ind w:firstLineChars="200" w:firstLine="640"/>
        <w:rPr>
          <w:rFonts w:ascii="黑体" w:eastAsia="黑体" w:hAnsi="黑体"/>
          <w:sz w:val="32"/>
          <w:szCs w:val="32"/>
        </w:rPr>
      </w:pPr>
      <w:r>
        <w:rPr>
          <w:rFonts w:ascii="黑体" w:eastAsia="黑体" w:hAnsi="黑体" w:hint="eastAsia"/>
          <w:sz w:val="32"/>
          <w:szCs w:val="32"/>
        </w:rPr>
        <w:t>㈢</w:t>
      </w:r>
      <w:r w:rsidR="00B57F18" w:rsidRPr="00934A37">
        <w:rPr>
          <w:rFonts w:ascii="黑体" w:eastAsia="黑体" w:hAnsi="黑体" w:hint="eastAsia"/>
          <w:sz w:val="32"/>
          <w:szCs w:val="32"/>
        </w:rPr>
        <w:t>开展专项行动，保障质量安全</w:t>
      </w:r>
    </w:p>
    <w:p w:rsidR="00B57F18" w:rsidRPr="00706814" w:rsidRDefault="001263A2" w:rsidP="00B57F18">
      <w:pPr>
        <w:spacing w:line="560" w:lineRule="exact"/>
        <w:ind w:firstLineChars="200" w:firstLine="640"/>
        <w:rPr>
          <w:rFonts w:ascii="仿宋_GB2312" w:eastAsia="仿宋_GB2312"/>
          <w:sz w:val="32"/>
          <w:szCs w:val="32"/>
        </w:rPr>
      </w:pPr>
      <w:r>
        <w:rPr>
          <w:rFonts w:ascii="楷体_GB2312" w:eastAsia="楷体_GB2312" w:hAnsi="黑体" w:hint="eastAsia"/>
          <w:sz w:val="32"/>
          <w:szCs w:val="32"/>
        </w:rPr>
        <w:t>⒈</w:t>
      </w:r>
      <w:r w:rsidR="00B57F18" w:rsidRPr="00934A37">
        <w:rPr>
          <w:rFonts w:ascii="楷体_GB2312" w:eastAsia="楷体_GB2312" w:hAnsi="黑体" w:hint="eastAsia"/>
          <w:sz w:val="32"/>
          <w:szCs w:val="32"/>
        </w:rPr>
        <w:t>开展农资打假专项治理行动。</w:t>
      </w:r>
      <w:r w:rsidR="00B57F18" w:rsidRPr="00706814">
        <w:rPr>
          <w:rFonts w:ascii="仿宋_GB2312" w:eastAsia="仿宋_GB2312" w:hint="eastAsia"/>
          <w:sz w:val="32"/>
          <w:szCs w:val="32"/>
        </w:rPr>
        <w:t>结合我市农业生产特点，围绕农药、种子、化肥</w:t>
      </w:r>
      <w:r w:rsidR="00B57F18">
        <w:rPr>
          <w:rFonts w:ascii="仿宋_GB2312" w:eastAsia="仿宋_GB2312" w:hint="eastAsia"/>
          <w:sz w:val="32"/>
          <w:szCs w:val="32"/>
        </w:rPr>
        <w:t>、兽药、饲料及饲料添加剂</w:t>
      </w:r>
      <w:r w:rsidR="00B57F18" w:rsidRPr="00706814">
        <w:rPr>
          <w:rFonts w:ascii="仿宋_GB2312" w:eastAsia="仿宋_GB2312" w:hint="eastAsia"/>
          <w:sz w:val="32"/>
          <w:szCs w:val="32"/>
        </w:rPr>
        <w:t>等农资销售季节，开展</w:t>
      </w:r>
      <w:r w:rsidR="00B57F18">
        <w:rPr>
          <w:rFonts w:ascii="仿宋_GB2312" w:eastAsia="仿宋_GB2312" w:hint="eastAsia"/>
          <w:sz w:val="32"/>
          <w:szCs w:val="32"/>
        </w:rPr>
        <w:t>季节性</w:t>
      </w:r>
      <w:r w:rsidR="00B57F18" w:rsidRPr="00706814">
        <w:rPr>
          <w:rFonts w:ascii="仿宋_GB2312" w:eastAsia="仿宋_GB2312" w:hint="eastAsia"/>
          <w:sz w:val="32"/>
          <w:szCs w:val="32"/>
        </w:rPr>
        <w:t>农资打假专项治理行动。盯紧城乡结合部、农资经营集散地、种养殖生产基地等重点区域，坚持源头治理，规范农资生产经营行为，开展种子、农药等经营主体清查</w:t>
      </w:r>
      <w:r w:rsidR="00B57F18">
        <w:rPr>
          <w:rFonts w:ascii="仿宋_GB2312" w:eastAsia="仿宋_GB2312" w:hint="eastAsia"/>
          <w:sz w:val="32"/>
          <w:szCs w:val="32"/>
        </w:rPr>
        <w:t>。</w:t>
      </w:r>
      <w:r w:rsidR="00B57F18" w:rsidRPr="00706814">
        <w:rPr>
          <w:rFonts w:ascii="仿宋_GB2312" w:eastAsia="仿宋_GB2312" w:hint="eastAsia"/>
          <w:sz w:val="32"/>
          <w:szCs w:val="32"/>
        </w:rPr>
        <w:t>做好饲料兽药等投入品执法监管工</w:t>
      </w:r>
      <w:r w:rsidR="00B57F18" w:rsidRPr="00706814">
        <w:rPr>
          <w:rFonts w:ascii="仿宋_GB2312" w:eastAsia="仿宋_GB2312" w:hint="eastAsia"/>
          <w:sz w:val="32"/>
          <w:szCs w:val="32"/>
        </w:rPr>
        <w:lastRenderedPageBreak/>
        <w:t>作。对辖区内的饲料生产企业、兽药、兽用疫苗经营企业开展专项整治，严厉打击生产经营环节的假劣伪冒饲料、兽用抗菌药物、兽用疫苗等违法违规行为</w:t>
      </w:r>
      <w:r w:rsidR="00B57F18">
        <w:rPr>
          <w:rFonts w:ascii="仿宋_GB2312" w:eastAsia="仿宋_GB2312" w:hint="eastAsia"/>
          <w:sz w:val="32"/>
          <w:szCs w:val="32"/>
        </w:rPr>
        <w:t>。</w:t>
      </w:r>
      <w:r w:rsidR="00B57F18" w:rsidRPr="00706814">
        <w:rPr>
          <w:rFonts w:ascii="仿宋_GB2312" w:eastAsia="仿宋_GB2312" w:hint="eastAsia"/>
          <w:sz w:val="32"/>
          <w:szCs w:val="32"/>
        </w:rPr>
        <w:t>严格农资批发环节产品备案审核制度，构建监管长效机制。</w:t>
      </w:r>
    </w:p>
    <w:p w:rsidR="00B57F18" w:rsidRDefault="001263A2" w:rsidP="00B57F18">
      <w:pPr>
        <w:spacing w:line="560" w:lineRule="exact"/>
        <w:ind w:firstLineChars="200" w:firstLine="640"/>
        <w:rPr>
          <w:rFonts w:ascii="仿宋_GB2312" w:eastAsia="仿宋_GB2312"/>
          <w:sz w:val="32"/>
          <w:szCs w:val="32"/>
        </w:rPr>
      </w:pPr>
      <w:r>
        <w:rPr>
          <w:rFonts w:ascii="楷体_GB2312" w:eastAsia="楷体_GB2312" w:hAnsi="黑体" w:hint="eastAsia"/>
          <w:sz w:val="32"/>
          <w:szCs w:val="32"/>
        </w:rPr>
        <w:t>⒉</w:t>
      </w:r>
      <w:r w:rsidR="00B57F18" w:rsidRPr="00934A37">
        <w:rPr>
          <w:rFonts w:ascii="楷体_GB2312" w:eastAsia="楷体_GB2312" w:hAnsi="黑体" w:hint="eastAsia"/>
          <w:sz w:val="32"/>
          <w:szCs w:val="32"/>
        </w:rPr>
        <w:t>开展农产品质量安全行动。</w:t>
      </w:r>
      <w:r w:rsidR="00B57F18" w:rsidRPr="00706814">
        <w:rPr>
          <w:rFonts w:ascii="仿宋_GB2312" w:eastAsia="仿宋_GB2312" w:hint="eastAsia"/>
          <w:sz w:val="32"/>
          <w:szCs w:val="32"/>
        </w:rPr>
        <w:t>做好全市农产品质量安全</w:t>
      </w:r>
      <w:r w:rsidR="00B57F18">
        <w:rPr>
          <w:rFonts w:ascii="仿宋_GB2312" w:eastAsia="仿宋_GB2312" w:hint="eastAsia"/>
          <w:sz w:val="32"/>
          <w:szCs w:val="32"/>
        </w:rPr>
        <w:t>执法监管</w:t>
      </w:r>
      <w:r w:rsidR="00B57F18" w:rsidRPr="00706814">
        <w:rPr>
          <w:rFonts w:ascii="仿宋_GB2312" w:eastAsia="仿宋_GB2312" w:hint="eastAsia"/>
          <w:sz w:val="32"/>
          <w:szCs w:val="32"/>
        </w:rPr>
        <w:t>工作，确保舌尖上的安全，保障广大人民群众吃上放心菜、放心肉</w:t>
      </w:r>
      <w:r w:rsidR="00B57F18">
        <w:rPr>
          <w:rFonts w:ascii="仿宋_GB2312" w:eastAsia="仿宋_GB2312" w:hint="eastAsia"/>
          <w:sz w:val="32"/>
          <w:szCs w:val="32"/>
        </w:rPr>
        <w:t>。</w:t>
      </w:r>
      <w:r w:rsidR="00B57F18" w:rsidRPr="00706814">
        <w:rPr>
          <w:rFonts w:ascii="仿宋_GB2312" w:eastAsia="仿宋_GB2312" w:hint="eastAsia"/>
          <w:sz w:val="32"/>
          <w:szCs w:val="32"/>
        </w:rPr>
        <w:t>配合</w:t>
      </w:r>
      <w:r w:rsidR="00B57F18">
        <w:rPr>
          <w:rFonts w:ascii="仿宋_GB2312" w:eastAsia="仿宋_GB2312" w:hint="eastAsia"/>
          <w:sz w:val="32"/>
          <w:szCs w:val="32"/>
        </w:rPr>
        <w:t>检测中心</w:t>
      </w:r>
      <w:r w:rsidR="00B57F18" w:rsidRPr="00706814">
        <w:rPr>
          <w:rFonts w:ascii="仿宋_GB2312" w:eastAsia="仿宋_GB2312" w:hint="eastAsia"/>
          <w:sz w:val="32"/>
          <w:szCs w:val="32"/>
        </w:rPr>
        <w:t>开展农产品质量安全的监督抽检工作，常态化开展风险监测和监督抽查工作；在节假日等重点消费时段，芹菜、草莓、葡萄等重点产品集中上市阶段</w:t>
      </w:r>
      <w:r w:rsidR="00B57F18">
        <w:rPr>
          <w:rFonts w:ascii="仿宋_GB2312" w:eastAsia="仿宋_GB2312" w:hint="eastAsia"/>
          <w:sz w:val="32"/>
          <w:szCs w:val="32"/>
        </w:rPr>
        <w:t>配合</w:t>
      </w:r>
      <w:r w:rsidR="00B57F18" w:rsidRPr="00706814">
        <w:rPr>
          <w:rFonts w:ascii="仿宋_GB2312" w:eastAsia="仿宋_GB2312" w:hint="eastAsia"/>
          <w:sz w:val="32"/>
          <w:szCs w:val="32"/>
        </w:rPr>
        <w:t>抽检，确保农产品质量安全。</w:t>
      </w:r>
    </w:p>
    <w:p w:rsidR="00B57F18" w:rsidRPr="00706814" w:rsidRDefault="001263A2" w:rsidP="00B57F18">
      <w:pPr>
        <w:spacing w:line="560" w:lineRule="exact"/>
        <w:ind w:firstLineChars="200" w:firstLine="640"/>
        <w:rPr>
          <w:rFonts w:ascii="仿宋_GB2312" w:eastAsia="仿宋_GB2312"/>
          <w:sz w:val="32"/>
          <w:szCs w:val="32"/>
        </w:rPr>
      </w:pPr>
      <w:r>
        <w:rPr>
          <w:rFonts w:ascii="楷体_GB2312" w:eastAsia="楷体_GB2312" w:hAnsi="黑体" w:hint="eastAsia"/>
          <w:sz w:val="32"/>
          <w:szCs w:val="32"/>
        </w:rPr>
        <w:t>⒊</w:t>
      </w:r>
      <w:r w:rsidR="00B57F18" w:rsidRPr="00934A37">
        <w:rPr>
          <w:rFonts w:ascii="楷体_GB2312" w:eastAsia="楷体_GB2312" w:hAnsi="黑体" w:hint="eastAsia"/>
          <w:sz w:val="32"/>
          <w:szCs w:val="32"/>
        </w:rPr>
        <w:t>开展渔业执法专项整治行动。</w:t>
      </w:r>
      <w:r w:rsidR="00B57F18" w:rsidRPr="00706814">
        <w:rPr>
          <w:rFonts w:ascii="仿宋_GB2312" w:eastAsia="仿宋_GB2312" w:hint="eastAsia"/>
          <w:sz w:val="32"/>
          <w:szCs w:val="32"/>
        </w:rPr>
        <w:t>开展重点水域</w:t>
      </w:r>
      <w:r w:rsidR="00B57F18">
        <w:rPr>
          <w:rFonts w:ascii="仿宋_GB2312" w:eastAsia="仿宋_GB2312" w:hint="eastAsia"/>
          <w:sz w:val="32"/>
          <w:szCs w:val="32"/>
        </w:rPr>
        <w:t>渔业“亮剑行动”，</w:t>
      </w:r>
      <w:r w:rsidR="00B57F18" w:rsidRPr="00706814">
        <w:rPr>
          <w:rFonts w:ascii="仿宋_GB2312" w:eastAsia="仿宋_GB2312" w:hint="eastAsia"/>
          <w:sz w:val="32"/>
          <w:szCs w:val="32"/>
        </w:rPr>
        <w:t>清理取缔涉渔“三无”船舶和“绝户网”、打击电、毒、炸鱼专项行动，开展水生野生动物保护专项执法行动，开展水产养殖用投入品规范使用专项执法行动，开展渔业安全生产监管专项行动等。</w:t>
      </w:r>
    </w:p>
    <w:p w:rsidR="00B57F18" w:rsidRDefault="001263A2" w:rsidP="00B57F18">
      <w:pPr>
        <w:spacing w:line="560" w:lineRule="exact"/>
        <w:ind w:firstLineChars="200" w:firstLine="640"/>
        <w:rPr>
          <w:rFonts w:ascii="仿宋_GB2312" w:eastAsia="仿宋_GB2312"/>
          <w:sz w:val="32"/>
          <w:szCs w:val="32"/>
        </w:rPr>
      </w:pPr>
      <w:r>
        <w:rPr>
          <w:rFonts w:ascii="楷体_GB2312" w:eastAsia="楷体_GB2312" w:hAnsi="黑体" w:hint="eastAsia"/>
          <w:sz w:val="32"/>
          <w:szCs w:val="32"/>
        </w:rPr>
        <w:t>⒋</w:t>
      </w:r>
      <w:r w:rsidR="00B57F18" w:rsidRPr="00934A37">
        <w:rPr>
          <w:rFonts w:ascii="楷体_GB2312" w:eastAsia="楷体_GB2312" w:hAnsi="黑体" w:hint="eastAsia"/>
          <w:sz w:val="32"/>
          <w:szCs w:val="32"/>
        </w:rPr>
        <w:t>开展生猪屠宰行业专项整治行动。</w:t>
      </w:r>
      <w:r w:rsidR="00B57F18">
        <w:rPr>
          <w:rFonts w:ascii="仿宋_GB2312" w:eastAsia="仿宋_GB2312" w:hint="eastAsia"/>
          <w:sz w:val="32"/>
          <w:szCs w:val="32"/>
        </w:rPr>
        <w:t>开展</w:t>
      </w:r>
      <w:r w:rsidR="00B57F18" w:rsidRPr="00706814">
        <w:rPr>
          <w:rFonts w:ascii="仿宋_GB2312" w:eastAsia="仿宋_GB2312" w:hint="eastAsia"/>
          <w:sz w:val="32"/>
          <w:szCs w:val="32"/>
        </w:rPr>
        <w:t>打击“瘦肉精”等违禁品违法添加行为，对全市范围内的规模猪场和肉牛肉羊养殖场及屠宰环节进行拉网式检查和检测，加强宣传和执法震慑，确保不出现“瘦肉精”等畜产品安全事件</w:t>
      </w:r>
      <w:r w:rsidR="00B57F18">
        <w:rPr>
          <w:rFonts w:ascii="仿宋_GB2312" w:eastAsia="仿宋_GB2312" w:hint="eastAsia"/>
          <w:sz w:val="32"/>
          <w:szCs w:val="32"/>
        </w:rPr>
        <w:t>；加强对</w:t>
      </w:r>
      <w:r w:rsidR="00B57F18" w:rsidRPr="00706814">
        <w:rPr>
          <w:rFonts w:ascii="仿宋_GB2312" w:eastAsia="仿宋_GB2312" w:hint="eastAsia"/>
          <w:sz w:val="32"/>
          <w:szCs w:val="32"/>
        </w:rPr>
        <w:t>屠宰现场进行监督检查，</w:t>
      </w:r>
      <w:r w:rsidR="00B57F18">
        <w:rPr>
          <w:rFonts w:ascii="仿宋_GB2312" w:eastAsia="仿宋_GB2312" w:hint="eastAsia"/>
          <w:sz w:val="32"/>
          <w:szCs w:val="32"/>
        </w:rPr>
        <w:t>杜绝“私屠滥宰”，</w:t>
      </w:r>
      <w:r w:rsidR="00B57F18" w:rsidRPr="00706814">
        <w:rPr>
          <w:rFonts w:ascii="仿宋_GB2312" w:eastAsia="仿宋_GB2312" w:hint="eastAsia"/>
          <w:sz w:val="32"/>
          <w:szCs w:val="32"/>
        </w:rPr>
        <w:t>做好屠宰行业</w:t>
      </w:r>
      <w:r w:rsidR="00B57F18">
        <w:rPr>
          <w:rFonts w:ascii="仿宋_GB2312" w:eastAsia="仿宋_GB2312" w:hint="eastAsia"/>
          <w:sz w:val="32"/>
          <w:szCs w:val="32"/>
        </w:rPr>
        <w:t>执法监管</w:t>
      </w:r>
      <w:r w:rsidR="00B57F18" w:rsidRPr="00706814">
        <w:rPr>
          <w:rFonts w:ascii="仿宋_GB2312" w:eastAsia="仿宋_GB2312" w:hint="eastAsia"/>
          <w:sz w:val="32"/>
          <w:szCs w:val="32"/>
        </w:rPr>
        <w:t>。</w:t>
      </w:r>
    </w:p>
    <w:p w:rsidR="00B57F18" w:rsidRPr="00706814" w:rsidRDefault="001263A2" w:rsidP="00B57F18">
      <w:pPr>
        <w:spacing w:line="560" w:lineRule="exact"/>
        <w:ind w:firstLineChars="200" w:firstLine="640"/>
        <w:rPr>
          <w:rFonts w:ascii="仿宋_GB2312" w:eastAsia="仿宋_GB2312"/>
          <w:sz w:val="32"/>
          <w:szCs w:val="32"/>
        </w:rPr>
      </w:pPr>
      <w:r>
        <w:rPr>
          <w:rFonts w:ascii="楷体_GB2312" w:eastAsia="楷体_GB2312" w:hAnsi="黑体" w:hint="eastAsia"/>
          <w:sz w:val="32"/>
          <w:szCs w:val="32"/>
        </w:rPr>
        <w:t>⒌</w:t>
      </w:r>
      <w:r w:rsidR="00B57F18" w:rsidRPr="00ED02CD">
        <w:rPr>
          <w:rFonts w:ascii="楷体_GB2312" w:eastAsia="楷体_GB2312" w:hAnsi="黑体" w:hint="eastAsia"/>
          <w:sz w:val="32"/>
          <w:szCs w:val="32"/>
        </w:rPr>
        <w:t>实施规范宠物诊疗秩序专项整治行动。</w:t>
      </w:r>
      <w:r w:rsidR="00B57F18">
        <w:rPr>
          <w:rFonts w:ascii="Times New Roman" w:eastAsia="仿宋_GB2312" w:hAnsi="Times New Roman"/>
          <w:sz w:val="32"/>
          <w:szCs w:val="32"/>
        </w:rPr>
        <w:t>严厉打击宠物诊疗活动中超范围经营、</w:t>
      </w:r>
      <w:r w:rsidR="00B57F18">
        <w:rPr>
          <w:rFonts w:ascii="Times New Roman" w:eastAsia="仿宋_GB2312" w:hAnsi="Times New Roman" w:hint="eastAsia"/>
          <w:sz w:val="32"/>
          <w:szCs w:val="32"/>
        </w:rPr>
        <w:t>收费</w:t>
      </w:r>
      <w:r w:rsidR="00B57F18">
        <w:rPr>
          <w:rFonts w:ascii="Times New Roman" w:eastAsia="仿宋_GB2312" w:hAnsi="Times New Roman"/>
          <w:sz w:val="32"/>
          <w:szCs w:val="32"/>
        </w:rPr>
        <w:t>不</w:t>
      </w:r>
      <w:r w:rsidR="00B57F18">
        <w:rPr>
          <w:rFonts w:ascii="Times New Roman" w:eastAsia="仿宋_GB2312" w:hAnsi="Times New Roman" w:hint="eastAsia"/>
          <w:sz w:val="32"/>
          <w:szCs w:val="32"/>
        </w:rPr>
        <w:t>合理不透</w:t>
      </w:r>
      <w:r w:rsidR="00B57F18">
        <w:rPr>
          <w:rFonts w:ascii="Times New Roman" w:eastAsia="仿宋_GB2312" w:hAnsi="Times New Roman"/>
          <w:sz w:val="32"/>
          <w:szCs w:val="32"/>
        </w:rPr>
        <w:t>明</w:t>
      </w:r>
      <w:r w:rsidR="00B57F18">
        <w:rPr>
          <w:rFonts w:ascii="Times New Roman" w:eastAsia="仿宋_GB2312" w:hAnsi="Times New Roman" w:hint="eastAsia"/>
          <w:sz w:val="32"/>
          <w:szCs w:val="32"/>
        </w:rPr>
        <w:t>不规范</w:t>
      </w:r>
      <w:r w:rsidR="00B57F18">
        <w:rPr>
          <w:rFonts w:ascii="Times New Roman" w:eastAsia="仿宋_GB2312" w:hAnsi="Times New Roman"/>
          <w:sz w:val="32"/>
          <w:szCs w:val="32"/>
        </w:rPr>
        <w:t>、过度诊疗、价高质低等</w:t>
      </w:r>
      <w:r w:rsidR="00B57F18">
        <w:rPr>
          <w:rFonts w:ascii="Times New Roman" w:eastAsia="仿宋_GB2312" w:hAnsi="Times New Roman" w:hint="eastAsia"/>
          <w:sz w:val="32"/>
          <w:szCs w:val="32"/>
        </w:rPr>
        <w:t>诊疗服务</w:t>
      </w:r>
      <w:r w:rsidR="00B57F18">
        <w:rPr>
          <w:rFonts w:ascii="Times New Roman" w:eastAsia="仿宋_GB2312" w:hAnsi="Times New Roman"/>
          <w:sz w:val="32"/>
          <w:szCs w:val="32"/>
        </w:rPr>
        <w:t>现象，严肃查处宠物诊疗机构和执业兽医违法违规从业行为，推动行业高质量发展。</w:t>
      </w:r>
    </w:p>
    <w:p w:rsidR="00B57F18" w:rsidRPr="00934A37" w:rsidRDefault="001263A2" w:rsidP="00B57F18">
      <w:pPr>
        <w:spacing w:line="560" w:lineRule="exact"/>
        <w:ind w:firstLineChars="200" w:firstLine="640"/>
        <w:rPr>
          <w:rFonts w:ascii="黑体" w:eastAsia="黑体" w:hAnsi="黑体"/>
          <w:sz w:val="32"/>
          <w:szCs w:val="32"/>
        </w:rPr>
      </w:pPr>
      <w:r>
        <w:rPr>
          <w:rFonts w:ascii="黑体" w:eastAsia="黑体" w:hAnsi="黑体" w:hint="eastAsia"/>
          <w:sz w:val="32"/>
          <w:szCs w:val="32"/>
        </w:rPr>
        <w:t>㈣</w:t>
      </w:r>
      <w:r w:rsidR="00B57F18" w:rsidRPr="00934A37">
        <w:rPr>
          <w:rFonts w:ascii="黑体" w:eastAsia="黑体" w:hAnsi="黑体" w:hint="eastAsia"/>
          <w:sz w:val="32"/>
          <w:szCs w:val="32"/>
        </w:rPr>
        <w:t>加强法制宣传，实现执法效果</w:t>
      </w:r>
    </w:p>
    <w:p w:rsidR="00B57F18" w:rsidRPr="00706814" w:rsidRDefault="00B57F18" w:rsidP="00B57F18">
      <w:pPr>
        <w:spacing w:line="560" w:lineRule="exact"/>
        <w:ind w:firstLineChars="200" w:firstLine="640"/>
        <w:rPr>
          <w:rFonts w:ascii="仿宋_GB2312" w:eastAsia="仿宋_GB2312"/>
          <w:sz w:val="32"/>
          <w:szCs w:val="32"/>
        </w:rPr>
      </w:pPr>
      <w:r w:rsidRPr="00934A37">
        <w:rPr>
          <w:rFonts w:ascii="楷体_GB2312" w:eastAsia="楷体_GB2312" w:hAnsi="黑体" w:hint="eastAsia"/>
          <w:sz w:val="32"/>
          <w:szCs w:val="32"/>
        </w:rPr>
        <w:t>开展执法普法宣传。</w:t>
      </w:r>
      <w:r w:rsidRPr="00706814">
        <w:rPr>
          <w:rFonts w:ascii="仿宋_GB2312" w:eastAsia="仿宋_GB2312" w:hint="eastAsia"/>
          <w:sz w:val="32"/>
          <w:szCs w:val="32"/>
        </w:rPr>
        <w:t>按照“谁执法谁普法”的原则，加大对《宪法》、《种子法》、《动物防疫法》、《农药管理条例》、《饲料和饲料添加</w:t>
      </w:r>
      <w:r w:rsidRPr="00706814">
        <w:rPr>
          <w:rFonts w:ascii="仿宋_GB2312" w:eastAsia="仿宋_GB2312" w:hint="eastAsia"/>
          <w:sz w:val="32"/>
          <w:szCs w:val="32"/>
        </w:rPr>
        <w:lastRenderedPageBreak/>
        <w:t>剂管理条例》等涉农法律法规的普法宣传力度，提升农资生产经营主体和广大农民群众的尊法、学法、知法、守法、用法水平。</w:t>
      </w:r>
    </w:p>
    <w:p w:rsidR="00B57F18" w:rsidRPr="00934A37" w:rsidRDefault="001263A2" w:rsidP="00B57F18">
      <w:pPr>
        <w:spacing w:line="560" w:lineRule="exact"/>
        <w:ind w:firstLineChars="200" w:firstLine="640"/>
        <w:rPr>
          <w:rFonts w:ascii="黑体" w:eastAsia="黑体" w:hAnsi="黑体"/>
          <w:sz w:val="32"/>
          <w:szCs w:val="32"/>
        </w:rPr>
      </w:pPr>
      <w:r>
        <w:rPr>
          <w:rFonts w:ascii="黑体" w:eastAsia="黑体" w:hAnsi="黑体" w:hint="eastAsia"/>
          <w:sz w:val="32"/>
          <w:szCs w:val="32"/>
        </w:rPr>
        <w:t>㈤</w:t>
      </w:r>
      <w:r w:rsidR="00B57F18" w:rsidRPr="00934A37">
        <w:rPr>
          <w:rFonts w:ascii="黑体" w:eastAsia="黑体" w:hAnsi="黑体" w:hint="eastAsia"/>
          <w:sz w:val="32"/>
          <w:szCs w:val="32"/>
        </w:rPr>
        <w:t>强化党建引领，铸就执法之魂</w:t>
      </w:r>
    </w:p>
    <w:p w:rsidR="00B57F18" w:rsidRPr="00706814" w:rsidRDefault="00B57F18" w:rsidP="00B57F18">
      <w:pPr>
        <w:spacing w:line="560" w:lineRule="exact"/>
        <w:ind w:firstLineChars="200" w:firstLine="640"/>
        <w:rPr>
          <w:rFonts w:ascii="仿宋_GB2312" w:eastAsia="仿宋_GB2312"/>
          <w:sz w:val="32"/>
          <w:szCs w:val="32"/>
        </w:rPr>
      </w:pPr>
      <w:r>
        <w:rPr>
          <w:rFonts w:ascii="仿宋_GB2312" w:eastAsia="仿宋_GB2312" w:hint="eastAsia"/>
          <w:sz w:val="32"/>
          <w:szCs w:val="32"/>
        </w:rPr>
        <w:t>持续强化</w:t>
      </w:r>
      <w:r w:rsidRPr="00706814">
        <w:rPr>
          <w:rFonts w:ascii="仿宋_GB2312" w:eastAsia="仿宋_GB2312" w:hint="eastAsia"/>
          <w:sz w:val="32"/>
          <w:szCs w:val="32"/>
        </w:rPr>
        <w:t>党组织标准化建设，把加强党的建设贯穿到农业综合行政执法工作各方面和全过程，坚持党建与执法工作互融互促，做到“两手抓、两手硬”。提升党员自身政治素质和理论素养，改进工作作风，充分发挥党支部的战斗堡垒作用和党员的先锋模范作用，认真贯彻落实党的路线方针政策和上级党组织的决议决定，用新思想指导新实践，用新理念引领新发展，积极创建“知法笃行、利剑护农”党建品牌，铸就农业综合行政执法之魂。</w:t>
      </w: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第二部分</w:t>
      </w:r>
      <w:r w:rsidRPr="00E907C4">
        <w:rPr>
          <w:rFonts w:ascii="TimesNewRoman" w:eastAsia="黑体" w:hAnsi="TimesNewRoman" w:cs="TimesNewRoman" w:hint="eastAsia"/>
          <w:bCs/>
          <w:sz w:val="36"/>
          <w:szCs w:val="36"/>
        </w:rPr>
        <w:t xml:space="preserve"> </w:t>
      </w:r>
      <w:r w:rsidR="00DB2A5C">
        <w:rPr>
          <w:rFonts w:ascii="TimesNewRoman" w:eastAsia="黑体" w:hAnsi="TimesNewRoman" w:cs="TimesNewRoman" w:hint="eastAsia"/>
          <w:bCs/>
          <w:sz w:val="36"/>
          <w:szCs w:val="36"/>
        </w:rPr>
        <w:t>2024</w:t>
      </w:r>
      <w:r w:rsidRPr="00E907C4">
        <w:rPr>
          <w:rFonts w:ascii="TimesNewRoman" w:eastAsia="黑体" w:hAnsi="TimesNewRoman" w:cs="TimesNewRoman" w:hint="eastAsia"/>
          <w:bCs/>
          <w:sz w:val="36"/>
          <w:szCs w:val="36"/>
        </w:rPr>
        <w:t>年部门（单位）预算表</w:t>
      </w:r>
    </w:p>
    <w:p w:rsidR="00E907C4" w:rsidRPr="009A3CA3" w:rsidRDefault="00E907C4" w:rsidP="009A3CA3">
      <w:pPr>
        <w:pStyle w:val="a3"/>
        <w:adjustRightInd w:val="0"/>
        <w:snapToGrid w:val="0"/>
        <w:spacing w:line="560" w:lineRule="exact"/>
        <w:ind w:firstLineChars="196" w:firstLine="627"/>
        <w:jc w:val="center"/>
        <w:rPr>
          <w:rFonts w:ascii="TimesNewRoman" w:eastAsia="仿宋_GB2312" w:hAnsi="TimesNewRoman" w:cs="TimesNewRoman"/>
          <w:bCs/>
          <w:sz w:val="32"/>
          <w:szCs w:val="32"/>
        </w:rPr>
      </w:pPr>
      <w:r w:rsidRPr="009A3CA3">
        <w:rPr>
          <w:rFonts w:ascii="TimesNewRoman" w:eastAsia="仿宋_GB2312" w:hAnsi="TimesNewRoman" w:cs="TimesNewRoman" w:hint="eastAsia"/>
          <w:bCs/>
          <w:sz w:val="32"/>
          <w:szCs w:val="32"/>
        </w:rPr>
        <w:t>见附件</w:t>
      </w:r>
      <w:r w:rsidRPr="009A3CA3">
        <w:rPr>
          <w:rFonts w:ascii="TimesNewRoman" w:eastAsia="仿宋_GB2312" w:hAnsi="TimesNewRoman" w:cs="TimesNewRoman" w:hint="eastAsia"/>
          <w:bCs/>
          <w:sz w:val="32"/>
          <w:szCs w:val="32"/>
        </w:rPr>
        <w:t>1-2</w:t>
      </w:r>
    </w:p>
    <w:p w:rsidR="00E907C4" w:rsidRDefault="00E907C4" w:rsidP="00E907C4">
      <w:r>
        <w:t xml:space="preserve">                                        </w:t>
      </w: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第三部分</w:t>
      </w:r>
      <w:r w:rsidRPr="00E907C4">
        <w:rPr>
          <w:rFonts w:ascii="TimesNewRoman" w:eastAsia="黑体" w:hAnsi="TimesNewRoman" w:cs="TimesNewRoman" w:hint="eastAsia"/>
          <w:bCs/>
          <w:sz w:val="36"/>
          <w:szCs w:val="36"/>
        </w:rPr>
        <w:t xml:space="preserve"> </w:t>
      </w:r>
      <w:r w:rsidR="00DB2A5C">
        <w:rPr>
          <w:rFonts w:ascii="TimesNewRoman" w:eastAsia="黑体" w:hAnsi="TimesNewRoman" w:cs="TimesNewRoman" w:hint="eastAsia"/>
          <w:bCs/>
          <w:sz w:val="36"/>
          <w:szCs w:val="36"/>
        </w:rPr>
        <w:t>2024</w:t>
      </w:r>
      <w:r w:rsidRPr="00E907C4">
        <w:rPr>
          <w:rFonts w:ascii="TimesNewRoman" w:eastAsia="黑体" w:hAnsi="TimesNewRoman" w:cs="TimesNewRoman" w:hint="eastAsia"/>
          <w:bCs/>
          <w:sz w:val="36"/>
          <w:szCs w:val="36"/>
        </w:rPr>
        <w:t>年部门（单位）预算情况说明</w:t>
      </w:r>
    </w:p>
    <w:p w:rsidR="00E907C4" w:rsidRDefault="00E907C4" w:rsidP="00E907C4"/>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一、关于</w:t>
      </w:r>
      <w:r w:rsidR="00DB2A5C">
        <w:rPr>
          <w:rFonts w:ascii="TimesNewRoman" w:eastAsia="黑体" w:hAnsi="TimesNewRoman" w:cs="TimesNewRoman" w:hint="eastAsia"/>
          <w:bCs/>
          <w:sz w:val="32"/>
          <w:szCs w:val="32"/>
        </w:rPr>
        <w:t>2024</w:t>
      </w:r>
      <w:r w:rsidRPr="00E907C4">
        <w:rPr>
          <w:rFonts w:ascii="TimesNewRoman" w:eastAsia="黑体" w:hAnsi="TimesNewRoman" w:cs="TimesNewRoman" w:hint="eastAsia"/>
          <w:bCs/>
          <w:sz w:val="32"/>
          <w:szCs w:val="32"/>
        </w:rPr>
        <w:t>年收支总表的说明</w:t>
      </w:r>
    </w:p>
    <w:p w:rsidR="00E907C4" w:rsidRPr="009A3CA3" w:rsidRDefault="00E907C4" w:rsidP="009A3CA3">
      <w:pPr>
        <w:pStyle w:val="a3"/>
        <w:adjustRightInd w:val="0"/>
        <w:snapToGrid w:val="0"/>
        <w:spacing w:line="560" w:lineRule="exact"/>
        <w:ind w:firstLineChars="196" w:firstLine="627"/>
        <w:rPr>
          <w:rFonts w:ascii="TimesNewRoman" w:eastAsia="仿宋_GB2312" w:hAnsi="TimesNewRoman" w:cs="TimesNewRoman"/>
          <w:sz w:val="32"/>
          <w:szCs w:val="32"/>
        </w:rPr>
      </w:pPr>
      <w:r w:rsidRPr="009A3CA3">
        <w:rPr>
          <w:rFonts w:ascii="TimesNewRoman" w:eastAsia="仿宋_GB2312" w:hAnsi="TimesNewRoman" w:cs="TimesNewRoman" w:hint="eastAsia"/>
          <w:sz w:val="32"/>
          <w:szCs w:val="32"/>
        </w:rPr>
        <w:t>按照综合预算的原则，淮北市</w:t>
      </w:r>
      <w:r w:rsidR="0002032E">
        <w:rPr>
          <w:rFonts w:ascii="TimesNewRoman" w:eastAsia="仿宋_GB2312" w:hAnsi="TimesNewRoman" w:cs="TimesNewRoman" w:hint="eastAsia"/>
          <w:bCs/>
          <w:sz w:val="32"/>
          <w:szCs w:val="32"/>
        </w:rPr>
        <w:t>农业综合行政执法支队</w:t>
      </w:r>
      <w:r w:rsidRPr="009A3CA3">
        <w:rPr>
          <w:rFonts w:ascii="TimesNewRoman" w:eastAsia="仿宋_GB2312" w:hAnsi="TimesNewRoman" w:cs="TimesNewRoman" w:hint="eastAsia"/>
          <w:sz w:val="32"/>
          <w:szCs w:val="32"/>
        </w:rPr>
        <w:t>所有收入和支出均纳入部门（单位）预算管理。淮北市</w:t>
      </w:r>
      <w:r w:rsidR="0002032E">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sz w:val="32"/>
          <w:szCs w:val="32"/>
        </w:rPr>
        <w:t>2024</w:t>
      </w:r>
      <w:r w:rsidRPr="009A3CA3">
        <w:rPr>
          <w:rFonts w:ascii="TimesNewRoman" w:eastAsia="仿宋_GB2312" w:hAnsi="TimesNewRoman" w:cs="TimesNewRoman" w:hint="eastAsia"/>
          <w:sz w:val="32"/>
          <w:szCs w:val="32"/>
        </w:rPr>
        <w:t>年收支总预算</w:t>
      </w:r>
      <w:r w:rsidR="00770386">
        <w:rPr>
          <w:rFonts w:ascii="TimesNewRoman" w:eastAsia="仿宋_GB2312" w:hAnsi="TimesNewRoman" w:cs="TimesNewRoman" w:hint="eastAsia"/>
          <w:sz w:val="32"/>
          <w:szCs w:val="32"/>
        </w:rPr>
        <w:t>673.23</w:t>
      </w:r>
      <w:r w:rsidRPr="009A3CA3">
        <w:rPr>
          <w:rFonts w:ascii="TimesNewRoman" w:eastAsia="仿宋_GB2312" w:hAnsi="TimesNewRoman" w:cs="TimesNewRoman" w:hint="eastAsia"/>
          <w:sz w:val="32"/>
          <w:szCs w:val="32"/>
        </w:rPr>
        <w:t>万元，收入包括一般公共预算拨款收入、政府性基金预算拨款收入、财政专户管理资金收入，支出包括：一般公共服务支出、社会保障和就业支出、卫生健康支出、住房保障支出、</w:t>
      </w:r>
      <w:r w:rsidR="003B23C4">
        <w:rPr>
          <w:rFonts w:ascii="TimesNewRoman" w:eastAsia="仿宋_GB2312" w:hAnsi="TimesNewRoman" w:cs="TimesNewRoman" w:hint="eastAsia"/>
          <w:sz w:val="32"/>
          <w:szCs w:val="32"/>
        </w:rPr>
        <w:t>农林水支出</w:t>
      </w:r>
      <w:r w:rsidRPr="009A3CA3">
        <w:rPr>
          <w:rFonts w:ascii="TimesNewRoman" w:eastAsia="仿宋_GB2312" w:hAnsi="TimesNewRoman" w:cs="TimesNewRoman" w:hint="eastAsia"/>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lastRenderedPageBreak/>
        <w:t>二、关于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年收入总表的说明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02032E">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年收入预算</w:t>
      </w:r>
      <w:r w:rsidR="00770386">
        <w:rPr>
          <w:rFonts w:ascii="TimesNewRoman" w:eastAsia="仿宋_GB2312" w:hAnsi="TimesNewRoman" w:cs="TimesNewRoman" w:hint="eastAsia"/>
          <w:sz w:val="32"/>
          <w:szCs w:val="32"/>
        </w:rPr>
        <w:t>673.23</w:t>
      </w:r>
      <w:r w:rsidRPr="009A3CA3">
        <w:rPr>
          <w:rFonts w:ascii="TimesNewRoman" w:eastAsia="仿宋_GB2312" w:hAnsi="TimesNewRoman" w:cs="TimesNewRoman" w:hint="eastAsia"/>
          <w:kern w:val="0"/>
          <w:sz w:val="32"/>
          <w:szCs w:val="32"/>
        </w:rPr>
        <w:t>万元，其中，本年收入</w:t>
      </w:r>
      <w:r w:rsidR="00770386">
        <w:rPr>
          <w:rFonts w:ascii="TimesNewRoman" w:eastAsia="仿宋_GB2312" w:hAnsi="TimesNewRoman" w:cs="TimesNewRoman" w:hint="eastAsia"/>
          <w:sz w:val="32"/>
          <w:szCs w:val="32"/>
        </w:rPr>
        <w:t>673.23</w:t>
      </w:r>
      <w:r w:rsidRPr="009A3CA3">
        <w:rPr>
          <w:rFonts w:ascii="TimesNewRoman" w:eastAsia="仿宋_GB2312" w:hAnsi="TimesNewRoman" w:cs="TimesNewRoman" w:hint="eastAsia"/>
          <w:kern w:val="0"/>
          <w:sz w:val="32"/>
          <w:szCs w:val="32"/>
        </w:rPr>
        <w:t>万元。</w:t>
      </w:r>
    </w:p>
    <w:p w:rsidR="00E907C4" w:rsidRPr="009A3CA3" w:rsidRDefault="00E907C4" w:rsidP="009A3CA3">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（一）本年收入</w:t>
      </w:r>
      <w:r w:rsidR="00770386">
        <w:rPr>
          <w:rFonts w:ascii="TimesNewRoman" w:eastAsia="仿宋_GB2312" w:hAnsi="TimesNewRoman" w:cs="TimesNewRoman" w:hint="eastAsia"/>
          <w:sz w:val="32"/>
          <w:szCs w:val="32"/>
        </w:rPr>
        <w:t>673.23</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主要包括：一般公共预算拨款收入</w:t>
      </w:r>
      <w:r w:rsidR="009A2A9A">
        <w:rPr>
          <w:rFonts w:ascii="TimesNewRoman" w:eastAsia="仿宋_GB2312" w:hAnsi="TimesNewRoman" w:cs="TimesNewRoman" w:hint="eastAsia"/>
          <w:sz w:val="32"/>
          <w:szCs w:val="32"/>
        </w:rPr>
        <w:t>673.23</w:t>
      </w:r>
      <w:r w:rsidRPr="009A3CA3">
        <w:rPr>
          <w:rFonts w:ascii="TimesNewRoman" w:eastAsia="仿宋_GB2312" w:hAnsi="TimesNewRoman" w:cs="TimesNewRoman" w:hint="eastAsia"/>
          <w:kern w:val="0"/>
          <w:sz w:val="32"/>
          <w:szCs w:val="32"/>
        </w:rPr>
        <w:t>万元，占</w:t>
      </w:r>
      <w:r w:rsidR="009A2A9A">
        <w:rPr>
          <w:rFonts w:ascii="TimesNewRoman" w:eastAsia="仿宋_GB2312" w:hAnsi="TimesNewRoman" w:cs="TimesNewRoman" w:hint="eastAsia"/>
          <w:kern w:val="0"/>
          <w:sz w:val="32"/>
          <w:szCs w:val="32"/>
        </w:rPr>
        <w:t>100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，比</w:t>
      </w:r>
      <w:r w:rsidR="00DB2A5C">
        <w:rPr>
          <w:rFonts w:ascii="TimesNewRoman" w:eastAsia="仿宋_GB2312" w:hAnsi="TimesNewRoman" w:cs="TimesNewRoman" w:hint="eastAsia"/>
          <w:kern w:val="0"/>
          <w:sz w:val="32"/>
          <w:szCs w:val="32"/>
        </w:rPr>
        <w:t>2023</w:t>
      </w:r>
      <w:r w:rsidRPr="009A3CA3">
        <w:rPr>
          <w:rFonts w:ascii="TimesNewRoman" w:eastAsia="仿宋_GB2312" w:hAnsi="TimesNewRoman" w:cs="TimesNewRoman" w:hint="eastAsia"/>
          <w:kern w:val="0"/>
          <w:sz w:val="32"/>
          <w:szCs w:val="32"/>
        </w:rPr>
        <w:t>年预算减少</w:t>
      </w:r>
      <w:r w:rsidR="009A2A9A">
        <w:rPr>
          <w:rFonts w:ascii="TimesNewRoman" w:eastAsia="仿宋_GB2312" w:hAnsi="TimesNewRoman" w:cs="TimesNewRoman" w:hint="eastAsia"/>
          <w:kern w:val="0"/>
          <w:sz w:val="32"/>
          <w:szCs w:val="32"/>
        </w:rPr>
        <w:t>22.44</w:t>
      </w:r>
      <w:r w:rsidRPr="009A3CA3">
        <w:rPr>
          <w:rFonts w:ascii="TimesNewRoman" w:eastAsia="仿宋_GB2312" w:hAnsi="TimesNewRoman" w:cs="TimesNewRoman" w:hint="eastAsia"/>
          <w:kern w:val="0"/>
          <w:sz w:val="32"/>
          <w:szCs w:val="32"/>
        </w:rPr>
        <w:t>万元，下降</w:t>
      </w:r>
      <w:r w:rsidR="009A2A9A">
        <w:rPr>
          <w:rFonts w:ascii="TimesNewRoman" w:eastAsia="仿宋_GB2312" w:hAnsi="TimesNewRoman" w:cs="TimesNewRoman" w:hint="eastAsia"/>
          <w:kern w:val="0"/>
          <w:sz w:val="32"/>
          <w:szCs w:val="32"/>
        </w:rPr>
        <w:t>3.23</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9A2A9A">
        <w:rPr>
          <w:rFonts w:ascii="TimesNewRoman" w:eastAsia="仿宋_GB2312" w:hAnsi="TimesNewRoman" w:cs="TimesNewRoman" w:hint="eastAsia"/>
          <w:kern w:val="0"/>
          <w:sz w:val="32"/>
          <w:szCs w:val="32"/>
        </w:rPr>
        <w:t>人员经费减少</w:t>
      </w:r>
      <w:r w:rsidRPr="009A3CA3">
        <w:rPr>
          <w:rFonts w:ascii="TimesNewRoman" w:eastAsia="仿宋_GB2312" w:hAnsi="TimesNewRoman" w:cs="TimesNewRoman" w:hint="eastAsia"/>
          <w:kern w:val="0"/>
          <w:sz w:val="32"/>
          <w:szCs w:val="32"/>
        </w:rPr>
        <w:t>；政府性基金预算拨款收入</w:t>
      </w:r>
      <w:r w:rsidR="009A2A9A">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万元，占</w:t>
      </w:r>
      <w:r w:rsidR="009A2A9A">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，比</w:t>
      </w:r>
      <w:r w:rsidR="00DB2A5C">
        <w:rPr>
          <w:rFonts w:ascii="TimesNewRoman" w:eastAsia="仿宋_GB2312" w:hAnsi="TimesNewRoman" w:cs="TimesNewRoman" w:hint="eastAsia"/>
          <w:kern w:val="0"/>
          <w:sz w:val="32"/>
          <w:szCs w:val="32"/>
        </w:rPr>
        <w:t>2023</w:t>
      </w:r>
      <w:r w:rsidRPr="009A3CA3">
        <w:rPr>
          <w:rFonts w:ascii="TimesNewRoman" w:eastAsia="仿宋_GB2312" w:hAnsi="TimesNewRoman" w:cs="TimesNewRoman" w:hint="eastAsia"/>
          <w:kern w:val="0"/>
          <w:sz w:val="32"/>
          <w:szCs w:val="32"/>
        </w:rPr>
        <w:t>年预算增加（减少）</w:t>
      </w:r>
      <w:r w:rsidR="009A2A9A">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万元，增长（下降）</w:t>
      </w:r>
      <w:r w:rsidR="009A2A9A">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9A2A9A">
        <w:rPr>
          <w:rFonts w:ascii="TimesNewRoman" w:eastAsia="仿宋_GB2312" w:hAnsi="TimesNewRoman" w:cs="TimesNewRoman" w:hint="eastAsia"/>
          <w:kern w:val="0"/>
          <w:sz w:val="32"/>
          <w:szCs w:val="32"/>
        </w:rPr>
        <w:t>2024</w:t>
      </w:r>
      <w:r w:rsidR="009A2A9A">
        <w:rPr>
          <w:rFonts w:ascii="TimesNewRoman" w:eastAsia="仿宋_GB2312" w:hAnsi="TimesNewRoman" w:cs="TimesNewRoman" w:hint="eastAsia"/>
          <w:kern w:val="0"/>
          <w:sz w:val="32"/>
          <w:szCs w:val="32"/>
        </w:rPr>
        <w:t>年没有安排政府性基金预算</w:t>
      </w:r>
      <w:r w:rsidRPr="009A3CA3">
        <w:rPr>
          <w:rFonts w:ascii="TimesNewRoman" w:eastAsia="仿宋_GB2312" w:hAnsi="TimesNewRoman" w:cs="TimesNewRoman" w:hint="eastAsia"/>
          <w:kern w:val="0"/>
          <w:sz w:val="32"/>
          <w:szCs w:val="32"/>
        </w:rPr>
        <w:t>；财政专户管理资金收入</w:t>
      </w:r>
      <w:r w:rsidR="009A2A9A">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万元，占</w:t>
      </w:r>
      <w:r w:rsidR="009A2A9A">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，比</w:t>
      </w:r>
      <w:r w:rsidR="00DB2A5C">
        <w:rPr>
          <w:rFonts w:ascii="TimesNewRoman" w:eastAsia="仿宋_GB2312" w:hAnsi="TimesNewRoman" w:cs="TimesNewRoman" w:hint="eastAsia"/>
          <w:kern w:val="0"/>
          <w:sz w:val="32"/>
          <w:szCs w:val="32"/>
        </w:rPr>
        <w:t>2023</w:t>
      </w:r>
      <w:r w:rsidRPr="009A3CA3">
        <w:rPr>
          <w:rFonts w:ascii="TimesNewRoman" w:eastAsia="仿宋_GB2312" w:hAnsi="TimesNewRoman" w:cs="TimesNewRoman" w:hint="eastAsia"/>
          <w:kern w:val="0"/>
          <w:sz w:val="32"/>
          <w:szCs w:val="32"/>
        </w:rPr>
        <w:t>年预算增加（减少）</w:t>
      </w:r>
      <w:r w:rsidR="009A2A9A">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万元，增长（下降）</w:t>
      </w:r>
      <w:r w:rsidR="009A2A9A">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9A2A9A">
        <w:rPr>
          <w:rFonts w:ascii="TimesNewRoman" w:eastAsia="仿宋_GB2312" w:hAnsi="TimesNewRoman" w:cs="TimesNewRoman" w:hint="eastAsia"/>
          <w:kern w:val="0"/>
          <w:sz w:val="32"/>
          <w:szCs w:val="32"/>
        </w:rPr>
        <w:t>2024</w:t>
      </w:r>
      <w:r w:rsidR="009A2A9A">
        <w:rPr>
          <w:rFonts w:ascii="TimesNewRoman" w:eastAsia="仿宋_GB2312" w:hAnsi="TimesNewRoman" w:cs="TimesNewRoman" w:hint="eastAsia"/>
          <w:kern w:val="0"/>
          <w:sz w:val="32"/>
          <w:szCs w:val="32"/>
        </w:rPr>
        <w:t>年没有安排财政专户管理资金收入</w:t>
      </w:r>
      <w:r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三、关于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年支出总表的说明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02032E">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年支出预算</w:t>
      </w:r>
      <w:r w:rsidR="00770386">
        <w:rPr>
          <w:rFonts w:ascii="TimesNewRoman" w:eastAsia="仿宋_GB2312" w:hAnsi="TimesNewRoman" w:cs="TimesNewRoman" w:hint="eastAsia"/>
          <w:sz w:val="32"/>
          <w:szCs w:val="32"/>
        </w:rPr>
        <w:t>673.23</w:t>
      </w:r>
      <w:r w:rsidRPr="009A3CA3">
        <w:rPr>
          <w:rFonts w:ascii="TimesNewRoman" w:eastAsia="仿宋_GB2312" w:hAnsi="TimesNewRoman" w:cs="TimesNewRoman" w:hint="eastAsia"/>
          <w:kern w:val="0"/>
          <w:sz w:val="32"/>
          <w:szCs w:val="32"/>
        </w:rPr>
        <w:t>万元，比</w:t>
      </w:r>
      <w:r w:rsidR="00DB2A5C">
        <w:rPr>
          <w:rFonts w:ascii="TimesNewRoman" w:eastAsia="仿宋_GB2312" w:hAnsi="TimesNewRoman" w:cs="TimesNewRoman" w:hint="eastAsia"/>
          <w:kern w:val="0"/>
          <w:sz w:val="32"/>
          <w:szCs w:val="32"/>
        </w:rPr>
        <w:t>2023</w:t>
      </w:r>
      <w:r w:rsidRPr="009A3CA3">
        <w:rPr>
          <w:rFonts w:ascii="TimesNewRoman" w:eastAsia="仿宋_GB2312" w:hAnsi="TimesNewRoman" w:cs="TimesNewRoman" w:hint="eastAsia"/>
          <w:kern w:val="0"/>
          <w:sz w:val="32"/>
          <w:szCs w:val="32"/>
        </w:rPr>
        <w:t>年预算减少</w:t>
      </w:r>
      <w:r w:rsidR="007E4B26">
        <w:rPr>
          <w:rFonts w:ascii="TimesNewRoman" w:eastAsia="仿宋_GB2312" w:hAnsi="TimesNewRoman" w:cs="TimesNewRoman" w:hint="eastAsia"/>
          <w:kern w:val="0"/>
          <w:sz w:val="32"/>
          <w:szCs w:val="32"/>
        </w:rPr>
        <w:t>22.44</w:t>
      </w:r>
      <w:r w:rsidRPr="009A3CA3">
        <w:rPr>
          <w:rFonts w:ascii="TimesNewRoman" w:eastAsia="仿宋_GB2312" w:hAnsi="TimesNewRoman" w:cs="TimesNewRoman" w:hint="eastAsia"/>
          <w:kern w:val="0"/>
          <w:sz w:val="32"/>
          <w:szCs w:val="32"/>
        </w:rPr>
        <w:t>万元，下降</w:t>
      </w:r>
      <w:r w:rsidR="007E4B26">
        <w:rPr>
          <w:rFonts w:ascii="TimesNewRoman" w:eastAsia="仿宋_GB2312" w:hAnsi="TimesNewRoman" w:cs="TimesNewRoman" w:hint="eastAsia"/>
          <w:kern w:val="0"/>
          <w:sz w:val="32"/>
          <w:szCs w:val="32"/>
        </w:rPr>
        <w:t>3.23</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7E4B26">
        <w:rPr>
          <w:rFonts w:ascii="TimesNewRoman" w:eastAsia="仿宋_GB2312" w:hAnsi="TimesNewRoman" w:cs="TimesNewRoman" w:hint="eastAsia"/>
          <w:kern w:val="0"/>
          <w:sz w:val="32"/>
          <w:szCs w:val="32"/>
        </w:rPr>
        <w:t>人员经费减少</w:t>
      </w:r>
      <w:r w:rsidRPr="009A3CA3">
        <w:rPr>
          <w:rFonts w:ascii="TimesNewRoman" w:eastAsia="仿宋_GB2312" w:hAnsi="TimesNewRoman" w:cs="TimesNewRoman" w:hint="eastAsia"/>
          <w:kern w:val="0"/>
          <w:sz w:val="32"/>
          <w:szCs w:val="32"/>
        </w:rPr>
        <w:t>。其中，基本支出</w:t>
      </w:r>
      <w:r w:rsidR="007E4B26">
        <w:rPr>
          <w:rFonts w:ascii="TimesNewRoman" w:eastAsia="仿宋_GB2312" w:hAnsi="TimesNewRoman" w:cs="TimesNewRoman" w:hint="eastAsia"/>
          <w:kern w:val="0"/>
          <w:sz w:val="32"/>
          <w:szCs w:val="32"/>
        </w:rPr>
        <w:t>623.23</w:t>
      </w:r>
      <w:r w:rsidRPr="009A3CA3">
        <w:rPr>
          <w:rFonts w:ascii="TimesNewRoman" w:eastAsia="仿宋_GB2312" w:hAnsi="TimesNewRoman" w:cs="TimesNewRoman" w:hint="eastAsia"/>
          <w:kern w:val="0"/>
          <w:sz w:val="32"/>
          <w:szCs w:val="32"/>
        </w:rPr>
        <w:t>万元，占</w:t>
      </w:r>
      <w:r w:rsidR="007E4B26">
        <w:rPr>
          <w:rFonts w:ascii="TimesNewRoman" w:eastAsia="仿宋_GB2312" w:hAnsi="TimesNewRoman" w:cs="TimesNewRoman" w:hint="eastAsia"/>
          <w:kern w:val="0"/>
          <w:sz w:val="32"/>
          <w:szCs w:val="32"/>
        </w:rPr>
        <w:t>92.57</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，主要用于保障机构日常运转、完成日常工作任务；项目支出</w:t>
      </w:r>
      <w:r w:rsidR="007E4B26">
        <w:rPr>
          <w:rFonts w:ascii="TimesNewRoman" w:eastAsia="仿宋_GB2312" w:hAnsi="TimesNewRoman" w:cs="TimesNewRoman" w:hint="eastAsia"/>
          <w:kern w:val="0"/>
          <w:sz w:val="32"/>
          <w:szCs w:val="32"/>
        </w:rPr>
        <w:t>50</w:t>
      </w:r>
      <w:r w:rsidRPr="009A3CA3">
        <w:rPr>
          <w:rFonts w:ascii="TimesNewRoman" w:eastAsia="仿宋_GB2312" w:hAnsi="TimesNewRoman" w:cs="TimesNewRoman" w:hint="eastAsia"/>
          <w:kern w:val="0"/>
          <w:sz w:val="32"/>
          <w:szCs w:val="32"/>
        </w:rPr>
        <w:t>万元，占</w:t>
      </w:r>
      <w:r w:rsidR="007E4B26">
        <w:rPr>
          <w:rFonts w:ascii="TimesNewRoman" w:eastAsia="仿宋_GB2312" w:hAnsi="TimesNewRoman" w:cs="TimesNewRoman" w:hint="eastAsia"/>
          <w:kern w:val="0"/>
          <w:sz w:val="32"/>
          <w:szCs w:val="32"/>
        </w:rPr>
        <w:t>7.43</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，主要用于</w:t>
      </w:r>
      <w:r w:rsidR="007E4B26">
        <w:rPr>
          <w:rFonts w:ascii="TimesNewRoman" w:eastAsia="仿宋_GB2312" w:hAnsi="TimesNewRoman" w:cs="TimesNewRoman" w:hint="eastAsia"/>
          <w:kern w:val="0"/>
          <w:sz w:val="32"/>
          <w:szCs w:val="32"/>
        </w:rPr>
        <w:t>购置农业综合行政执法装备和制式执法服装的换装</w:t>
      </w:r>
      <w:r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四、关于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年财政拨款收支总表的说明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02032E">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年财政拨款收支预算</w:t>
      </w:r>
      <w:r w:rsidR="00770386">
        <w:rPr>
          <w:rFonts w:ascii="TimesNewRoman" w:eastAsia="仿宋_GB2312" w:hAnsi="TimesNewRoman" w:cs="TimesNewRoman" w:hint="eastAsia"/>
          <w:sz w:val="32"/>
          <w:szCs w:val="32"/>
        </w:rPr>
        <w:t>673.23</w:t>
      </w:r>
      <w:r w:rsidRPr="009A3CA3">
        <w:rPr>
          <w:rFonts w:ascii="TimesNewRoman" w:eastAsia="仿宋_GB2312" w:hAnsi="TimesNewRoman" w:cs="TimesNewRoman" w:hint="eastAsia"/>
          <w:kern w:val="0"/>
          <w:sz w:val="32"/>
          <w:szCs w:val="32"/>
        </w:rPr>
        <w:t>万元。收入按资金来源分为：一般公共预算拨款</w:t>
      </w:r>
      <w:r w:rsidR="007E4B26">
        <w:rPr>
          <w:rFonts w:ascii="TimesNewRoman" w:eastAsia="仿宋_GB2312" w:hAnsi="TimesNewRoman" w:cs="TimesNewRoman" w:hint="eastAsia"/>
          <w:sz w:val="32"/>
          <w:szCs w:val="32"/>
        </w:rPr>
        <w:t>673.23</w:t>
      </w:r>
      <w:r w:rsidRPr="009A3CA3">
        <w:rPr>
          <w:rFonts w:ascii="TimesNewRoman" w:eastAsia="仿宋_GB2312" w:hAnsi="TimesNewRoman" w:cs="TimesNewRoman" w:hint="eastAsia"/>
          <w:kern w:val="0"/>
          <w:sz w:val="32"/>
          <w:szCs w:val="32"/>
        </w:rPr>
        <w:t>万元、政府性基金预算拨款</w:t>
      </w:r>
      <w:r w:rsidR="007E4B26">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万元；按资金年度分为：本年财政拨款收入</w:t>
      </w:r>
      <w:r w:rsidR="007E4B26">
        <w:rPr>
          <w:rFonts w:ascii="TimesNewRoman" w:eastAsia="仿宋_GB2312" w:hAnsi="TimesNewRoman" w:cs="TimesNewRoman" w:hint="eastAsia"/>
          <w:sz w:val="32"/>
          <w:szCs w:val="32"/>
        </w:rPr>
        <w:t>673.23</w:t>
      </w:r>
      <w:r w:rsidRPr="009A3CA3">
        <w:rPr>
          <w:rFonts w:ascii="TimesNewRoman" w:eastAsia="仿宋_GB2312" w:hAnsi="TimesNewRoman" w:cs="TimesNewRoman" w:hint="eastAsia"/>
          <w:kern w:val="0"/>
          <w:sz w:val="32"/>
          <w:szCs w:val="32"/>
        </w:rPr>
        <w:lastRenderedPageBreak/>
        <w:t>万元。支出按功能分类分为：一般公共服务支出</w:t>
      </w:r>
      <w:r w:rsidR="007E4B26">
        <w:rPr>
          <w:rFonts w:ascii="TimesNewRoman" w:eastAsia="仿宋_GB2312" w:hAnsi="TimesNewRoman" w:cs="TimesNewRoman" w:hint="eastAsia"/>
          <w:sz w:val="32"/>
          <w:szCs w:val="32"/>
        </w:rPr>
        <w:t>0</w:t>
      </w:r>
      <w:r w:rsidRPr="009A3CA3">
        <w:rPr>
          <w:rFonts w:ascii="TimesNewRoman" w:eastAsia="仿宋_GB2312" w:hAnsi="TimesNewRoman" w:cs="TimesNewRoman" w:hint="eastAsia"/>
          <w:kern w:val="0"/>
          <w:sz w:val="32"/>
          <w:szCs w:val="32"/>
        </w:rPr>
        <w:t>万元，占</w:t>
      </w:r>
      <w:r w:rsidR="007E4B26">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；社会保障和就业支出</w:t>
      </w:r>
      <w:r w:rsidR="007E4B26">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万元，占</w:t>
      </w:r>
      <w:r w:rsidR="007E4B26">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；卫生健康支出</w:t>
      </w:r>
      <w:r w:rsidR="007E4B26">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万元，占</w:t>
      </w:r>
      <w:r w:rsidR="007E4B26">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；住房保障支出</w:t>
      </w:r>
      <w:r w:rsidR="007E4B26">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万元，占</w:t>
      </w:r>
      <w:r w:rsidR="007E4B26">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r w:rsidR="007E4B26">
        <w:rPr>
          <w:rFonts w:ascii="TimesNewRoman" w:eastAsia="仿宋_GB2312" w:hAnsi="TimesNewRoman" w:cs="TimesNewRoman" w:hint="eastAsia"/>
          <w:kern w:val="0"/>
          <w:sz w:val="32"/>
          <w:szCs w:val="32"/>
        </w:rPr>
        <w:t>农林水支出</w:t>
      </w:r>
      <w:r w:rsidR="007E4B26">
        <w:rPr>
          <w:rFonts w:ascii="TimesNewRoman" w:eastAsia="仿宋_GB2312" w:hAnsi="TimesNewRoman" w:cs="TimesNewRoman" w:hint="eastAsia"/>
          <w:sz w:val="32"/>
          <w:szCs w:val="32"/>
        </w:rPr>
        <w:t>673.23</w:t>
      </w:r>
      <w:r w:rsidR="007E4B26">
        <w:rPr>
          <w:rFonts w:ascii="TimesNewRoman" w:eastAsia="仿宋_GB2312" w:hAnsi="TimesNewRoman" w:cs="TimesNewRoman" w:hint="eastAsia"/>
          <w:sz w:val="32"/>
          <w:szCs w:val="32"/>
        </w:rPr>
        <w:t>万元，占</w:t>
      </w:r>
      <w:r w:rsidR="007E4B26">
        <w:rPr>
          <w:rFonts w:ascii="TimesNewRoman" w:eastAsia="仿宋_GB2312" w:hAnsi="TimesNewRoman" w:cs="TimesNewRoman" w:hint="eastAsia"/>
          <w:sz w:val="32"/>
          <w:szCs w:val="32"/>
        </w:rPr>
        <w:t>100%</w:t>
      </w:r>
      <w:r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五、关于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年一般公共预算支出表的说明</w:t>
      </w:r>
    </w:p>
    <w:p w:rsidR="00E907C4" w:rsidRPr="009A3CA3" w:rsidRDefault="00E907C4" w:rsidP="009A3CA3">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（一）一般公共预算支出规模变化情况。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02032E">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年一般公共预算支出</w:t>
      </w:r>
      <w:r w:rsidR="00770386">
        <w:rPr>
          <w:rFonts w:ascii="TimesNewRoman" w:eastAsia="仿宋_GB2312" w:hAnsi="TimesNewRoman" w:cs="TimesNewRoman" w:hint="eastAsia"/>
          <w:sz w:val="32"/>
          <w:szCs w:val="32"/>
        </w:rPr>
        <w:t>673.23</w:t>
      </w:r>
      <w:r w:rsidRPr="009A3CA3">
        <w:rPr>
          <w:rFonts w:ascii="TimesNewRoman" w:eastAsia="仿宋_GB2312" w:hAnsi="TimesNewRoman" w:cs="TimesNewRoman" w:hint="eastAsia"/>
          <w:kern w:val="0"/>
          <w:sz w:val="32"/>
          <w:szCs w:val="32"/>
        </w:rPr>
        <w:t>万元，比</w:t>
      </w:r>
      <w:r w:rsidR="00DB2A5C">
        <w:rPr>
          <w:rFonts w:ascii="TimesNewRoman" w:eastAsia="仿宋_GB2312" w:hAnsi="TimesNewRoman" w:cs="TimesNewRoman" w:hint="eastAsia"/>
          <w:kern w:val="0"/>
          <w:sz w:val="32"/>
          <w:szCs w:val="32"/>
        </w:rPr>
        <w:t>2023</w:t>
      </w:r>
      <w:r w:rsidRPr="009A3CA3">
        <w:rPr>
          <w:rFonts w:ascii="TimesNewRoman" w:eastAsia="仿宋_GB2312" w:hAnsi="TimesNewRoman" w:cs="TimesNewRoman" w:hint="eastAsia"/>
          <w:kern w:val="0"/>
          <w:sz w:val="32"/>
          <w:szCs w:val="32"/>
        </w:rPr>
        <w:t>年预算减少</w:t>
      </w:r>
      <w:r w:rsidR="007E4B26">
        <w:rPr>
          <w:rFonts w:ascii="TimesNewRoman" w:eastAsia="仿宋_GB2312" w:hAnsi="TimesNewRoman" w:cs="TimesNewRoman" w:hint="eastAsia"/>
          <w:kern w:val="0"/>
          <w:sz w:val="32"/>
          <w:szCs w:val="32"/>
        </w:rPr>
        <w:t>22.44</w:t>
      </w:r>
      <w:r w:rsidRPr="009A3CA3">
        <w:rPr>
          <w:rFonts w:ascii="TimesNewRoman" w:eastAsia="仿宋_GB2312" w:hAnsi="TimesNewRoman" w:cs="TimesNewRoman" w:hint="eastAsia"/>
          <w:kern w:val="0"/>
          <w:sz w:val="32"/>
          <w:szCs w:val="32"/>
        </w:rPr>
        <w:t>万元，下降</w:t>
      </w:r>
      <w:r w:rsidR="007E4B26">
        <w:rPr>
          <w:rFonts w:ascii="TimesNewRoman" w:eastAsia="仿宋_GB2312" w:hAnsi="TimesNewRoman" w:cs="TimesNewRoman" w:hint="eastAsia"/>
          <w:kern w:val="0"/>
          <w:sz w:val="32"/>
          <w:szCs w:val="32"/>
        </w:rPr>
        <w:t>3.23</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，主要原因：</w:t>
      </w:r>
      <w:r w:rsidR="007E4B26">
        <w:rPr>
          <w:rFonts w:ascii="TimesNewRoman" w:eastAsia="仿宋_GB2312" w:hAnsi="TimesNewRoman" w:cs="TimesNewRoman" w:hint="eastAsia"/>
          <w:kern w:val="0"/>
          <w:sz w:val="32"/>
          <w:szCs w:val="32"/>
        </w:rPr>
        <w:t>人员经费减少</w:t>
      </w:r>
      <w:r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（二）一般公共预算支出结构情况。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一般公共服务支出</w:t>
      </w:r>
      <w:r w:rsidR="00770386">
        <w:rPr>
          <w:rFonts w:ascii="TimesNewRoman" w:eastAsia="仿宋_GB2312" w:hAnsi="TimesNewRoman" w:cs="TimesNewRoman" w:hint="eastAsia"/>
          <w:sz w:val="32"/>
          <w:szCs w:val="32"/>
        </w:rPr>
        <w:t>673.23</w:t>
      </w:r>
      <w:r w:rsidRPr="009A3CA3">
        <w:rPr>
          <w:rFonts w:ascii="TimesNewRoman" w:eastAsia="仿宋_GB2312" w:hAnsi="TimesNewRoman" w:cs="TimesNewRoman" w:hint="eastAsia"/>
          <w:kern w:val="0"/>
          <w:sz w:val="32"/>
          <w:szCs w:val="32"/>
        </w:rPr>
        <w:t>万元，占</w:t>
      </w:r>
      <w:r w:rsidR="00770386">
        <w:rPr>
          <w:rFonts w:ascii="TimesNewRoman" w:eastAsia="仿宋_GB2312" w:hAnsi="TimesNewRoman" w:cs="TimesNewRoman" w:hint="eastAsia"/>
          <w:kern w:val="0"/>
          <w:sz w:val="32"/>
          <w:szCs w:val="32"/>
        </w:rPr>
        <w:t>100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；社会保障和就业支出</w:t>
      </w:r>
      <w:r w:rsidR="007E4B26">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万元，占</w:t>
      </w:r>
      <w:r w:rsidR="007E4B26">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；卫生健康支出</w:t>
      </w:r>
      <w:r w:rsidR="007E4B26">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万元，占</w:t>
      </w:r>
      <w:r w:rsidR="007E4B26">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；住房保障支出</w:t>
      </w:r>
      <w:r w:rsidR="007E4B26">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万元，占</w:t>
      </w:r>
      <w:r w:rsidR="007E4B26">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r w:rsidR="007E4B26">
        <w:rPr>
          <w:rFonts w:ascii="TimesNewRoman" w:eastAsia="仿宋_GB2312" w:hAnsi="TimesNewRoman" w:cs="TimesNewRoman" w:hint="eastAsia"/>
          <w:kern w:val="0"/>
          <w:sz w:val="32"/>
          <w:szCs w:val="32"/>
        </w:rPr>
        <w:t>农林水支出</w:t>
      </w:r>
      <w:r w:rsidR="007E4B26">
        <w:rPr>
          <w:rFonts w:ascii="TimesNewRoman" w:eastAsia="仿宋_GB2312" w:hAnsi="TimesNewRoman" w:cs="TimesNewRoman" w:hint="eastAsia"/>
          <w:sz w:val="32"/>
          <w:szCs w:val="32"/>
        </w:rPr>
        <w:t>673.23</w:t>
      </w:r>
      <w:r w:rsidR="007E4B26">
        <w:rPr>
          <w:rFonts w:ascii="TimesNewRoman" w:eastAsia="仿宋_GB2312" w:hAnsi="TimesNewRoman" w:cs="TimesNewRoman" w:hint="eastAsia"/>
          <w:sz w:val="32"/>
          <w:szCs w:val="32"/>
        </w:rPr>
        <w:t>万元，占</w:t>
      </w:r>
      <w:r w:rsidR="007E4B26">
        <w:rPr>
          <w:rFonts w:ascii="TimesNewRoman" w:eastAsia="仿宋_GB2312" w:hAnsi="TimesNewRoman" w:cs="TimesNewRoman" w:hint="eastAsia"/>
          <w:sz w:val="32"/>
          <w:szCs w:val="32"/>
        </w:rPr>
        <w:t>100%</w:t>
      </w:r>
      <w:r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（三）一般公共预算支出具体使用情况。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、一般公共服务支出（类）财政事务（款）行政运行（项）</w:t>
      </w:r>
      <w:r w:rsidR="00DB2A5C">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w:t>
      </w:r>
      <w:r w:rsidR="007E4B26">
        <w:rPr>
          <w:rFonts w:ascii="TimesNewRoman" w:eastAsia="仿宋_GB2312" w:hAnsi="TimesNewRoman" w:cs="TimesNewRoman" w:hint="eastAsia"/>
          <w:sz w:val="32"/>
          <w:szCs w:val="32"/>
        </w:rPr>
        <w:t>0</w:t>
      </w:r>
      <w:r w:rsidRPr="009A3CA3">
        <w:rPr>
          <w:rFonts w:ascii="TimesNewRoman" w:eastAsia="仿宋_GB2312" w:hAnsi="TimesNewRoman" w:cs="TimesNewRoman" w:hint="eastAsia"/>
          <w:kern w:val="0"/>
          <w:sz w:val="32"/>
          <w:szCs w:val="32"/>
        </w:rPr>
        <w:t>万元，比</w:t>
      </w:r>
      <w:r w:rsidR="00DB2A5C">
        <w:rPr>
          <w:rFonts w:ascii="TimesNewRoman" w:eastAsia="仿宋_GB2312" w:hAnsi="TimesNewRoman" w:cs="TimesNewRoman" w:hint="eastAsia"/>
          <w:kern w:val="0"/>
          <w:sz w:val="32"/>
          <w:szCs w:val="32"/>
        </w:rPr>
        <w:t>2023</w:t>
      </w:r>
      <w:r w:rsidRPr="009A3CA3">
        <w:rPr>
          <w:rFonts w:ascii="TimesNewRoman" w:eastAsia="仿宋_GB2312" w:hAnsi="TimesNewRoman" w:cs="TimesNewRoman" w:hint="eastAsia"/>
          <w:kern w:val="0"/>
          <w:sz w:val="32"/>
          <w:szCs w:val="32"/>
        </w:rPr>
        <w:t>年预算增加（减少）</w:t>
      </w:r>
      <w:r w:rsidR="007E4B26">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万元，增长（下降）</w:t>
      </w:r>
      <w:r w:rsidR="007E4B26">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7E4B26">
        <w:rPr>
          <w:rFonts w:ascii="TimesNewRoman" w:eastAsia="仿宋_GB2312" w:hAnsi="TimesNewRoman" w:cs="TimesNewRoman" w:hint="eastAsia"/>
          <w:kern w:val="0"/>
          <w:sz w:val="32"/>
          <w:szCs w:val="32"/>
        </w:rPr>
        <w:t>2024</w:t>
      </w:r>
      <w:r w:rsidR="007E4B26">
        <w:rPr>
          <w:rFonts w:ascii="TimesNewRoman" w:eastAsia="仿宋_GB2312" w:hAnsi="TimesNewRoman" w:cs="TimesNewRoman" w:hint="eastAsia"/>
          <w:kern w:val="0"/>
          <w:sz w:val="32"/>
          <w:szCs w:val="32"/>
        </w:rPr>
        <w:t>年没有安排此项预算</w:t>
      </w:r>
      <w:r w:rsidRPr="009A3CA3">
        <w:rPr>
          <w:rFonts w:ascii="TimesNewRoman" w:eastAsia="仿宋_GB2312" w:hAnsi="TimesNewRoman" w:cs="TimesNewRoman" w:hint="eastAsia"/>
          <w:kern w:val="0"/>
          <w:sz w:val="32"/>
          <w:szCs w:val="32"/>
        </w:rPr>
        <w:t>。</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、一般公共服务支出（类）财政事务（款）一般行政管理事务（项）</w:t>
      </w:r>
      <w:r w:rsidR="00DB2A5C">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w:t>
      </w:r>
      <w:r w:rsidR="00F76080">
        <w:rPr>
          <w:rFonts w:ascii="TimesNewRoman" w:eastAsia="仿宋_GB2312" w:hAnsi="TimesNewRoman" w:cs="TimesNewRoman" w:hint="eastAsia"/>
          <w:kern w:val="0"/>
          <w:sz w:val="32"/>
          <w:szCs w:val="32"/>
        </w:rPr>
        <w:t>673.23</w:t>
      </w:r>
      <w:r w:rsidRPr="009A3CA3">
        <w:rPr>
          <w:rFonts w:ascii="TimesNewRoman" w:eastAsia="仿宋_GB2312" w:hAnsi="TimesNewRoman" w:cs="TimesNewRoman" w:hint="eastAsia"/>
          <w:kern w:val="0"/>
          <w:sz w:val="32"/>
          <w:szCs w:val="32"/>
        </w:rPr>
        <w:t>万元，比</w:t>
      </w:r>
      <w:r w:rsidR="00DB2A5C">
        <w:rPr>
          <w:rFonts w:ascii="TimesNewRoman" w:eastAsia="仿宋_GB2312" w:hAnsi="TimesNewRoman" w:cs="TimesNewRoman" w:hint="eastAsia"/>
          <w:kern w:val="0"/>
          <w:sz w:val="32"/>
          <w:szCs w:val="32"/>
        </w:rPr>
        <w:t>2023</w:t>
      </w:r>
      <w:r w:rsidRPr="009A3CA3">
        <w:rPr>
          <w:rFonts w:ascii="TimesNewRoman" w:eastAsia="仿宋_GB2312" w:hAnsi="TimesNewRoman" w:cs="TimesNewRoman" w:hint="eastAsia"/>
          <w:kern w:val="0"/>
          <w:sz w:val="32"/>
          <w:szCs w:val="32"/>
        </w:rPr>
        <w:t>年预算减少</w:t>
      </w:r>
      <w:r w:rsidR="00F76080">
        <w:rPr>
          <w:rFonts w:ascii="TimesNewRoman" w:eastAsia="仿宋_GB2312" w:hAnsi="TimesNewRoman" w:cs="TimesNewRoman" w:hint="eastAsia"/>
          <w:kern w:val="0"/>
          <w:sz w:val="32"/>
          <w:szCs w:val="32"/>
        </w:rPr>
        <w:t>22.44</w:t>
      </w:r>
      <w:r w:rsidRPr="009A3CA3">
        <w:rPr>
          <w:rFonts w:ascii="TimesNewRoman" w:eastAsia="仿宋_GB2312" w:hAnsi="TimesNewRoman" w:cs="TimesNewRoman" w:hint="eastAsia"/>
          <w:kern w:val="0"/>
          <w:sz w:val="32"/>
          <w:szCs w:val="32"/>
        </w:rPr>
        <w:t>万元，下降</w:t>
      </w:r>
      <w:r w:rsidR="00F76080">
        <w:rPr>
          <w:rFonts w:ascii="TimesNewRoman" w:eastAsia="仿宋_GB2312" w:hAnsi="TimesNewRoman" w:cs="TimesNewRoman" w:hint="eastAsia"/>
          <w:kern w:val="0"/>
          <w:sz w:val="32"/>
          <w:szCs w:val="32"/>
        </w:rPr>
        <w:t>3.23</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F76080">
        <w:rPr>
          <w:rFonts w:ascii="TimesNewRoman" w:eastAsia="仿宋_GB2312" w:hAnsi="TimesNewRoman" w:cs="TimesNewRoman" w:hint="eastAsia"/>
          <w:kern w:val="0"/>
          <w:sz w:val="32"/>
          <w:szCs w:val="32"/>
        </w:rPr>
        <w:t>人员经费减少</w:t>
      </w:r>
      <w:r w:rsidRPr="009A3CA3">
        <w:rPr>
          <w:rFonts w:ascii="TimesNewRoman" w:eastAsia="仿宋_GB2312" w:hAnsi="TimesNewRoman" w:cs="TimesNewRoman" w:hint="eastAsia"/>
          <w:kern w:val="0"/>
          <w:sz w:val="32"/>
          <w:szCs w:val="32"/>
        </w:rPr>
        <w:t>。</w:t>
      </w:r>
    </w:p>
    <w:p w:rsidR="00F76080" w:rsidRPr="009A3CA3" w:rsidRDefault="00E907C4" w:rsidP="00F76080">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、社会保障和就业支出（类）行政事业单位离退休（款）归口</w:t>
      </w:r>
      <w:r w:rsidRPr="009A3CA3">
        <w:rPr>
          <w:rFonts w:ascii="TimesNewRoman" w:eastAsia="仿宋_GB2312" w:hAnsi="TimesNewRoman" w:cs="TimesNewRoman" w:hint="eastAsia"/>
          <w:kern w:val="0"/>
          <w:sz w:val="32"/>
          <w:szCs w:val="32"/>
        </w:rPr>
        <w:lastRenderedPageBreak/>
        <w:t>管理的行政事业单位离退休（项）</w:t>
      </w:r>
      <w:r w:rsidR="00DB2A5C">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w:t>
      </w:r>
      <w:r w:rsidR="00F76080">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万元，比</w:t>
      </w:r>
      <w:r w:rsidR="00DB2A5C">
        <w:rPr>
          <w:rFonts w:ascii="TimesNewRoman" w:eastAsia="仿宋_GB2312" w:hAnsi="TimesNewRoman" w:cs="TimesNewRoman" w:hint="eastAsia"/>
          <w:kern w:val="0"/>
          <w:sz w:val="32"/>
          <w:szCs w:val="32"/>
        </w:rPr>
        <w:t>2023</w:t>
      </w:r>
      <w:r w:rsidRPr="009A3CA3">
        <w:rPr>
          <w:rFonts w:ascii="TimesNewRoman" w:eastAsia="仿宋_GB2312" w:hAnsi="TimesNewRoman" w:cs="TimesNewRoman" w:hint="eastAsia"/>
          <w:kern w:val="0"/>
          <w:sz w:val="32"/>
          <w:szCs w:val="32"/>
        </w:rPr>
        <w:t>年预算减少</w:t>
      </w:r>
      <w:r w:rsidR="00F76080">
        <w:rPr>
          <w:rFonts w:ascii="TimesNewRoman" w:eastAsia="仿宋_GB2312" w:hAnsi="TimesNewRoman" w:cs="TimesNewRoman" w:hint="eastAsia"/>
          <w:kern w:val="0"/>
          <w:sz w:val="32"/>
          <w:szCs w:val="32"/>
        </w:rPr>
        <w:t>86.67</w:t>
      </w:r>
      <w:r w:rsidRPr="009A3CA3">
        <w:rPr>
          <w:rFonts w:ascii="TimesNewRoman" w:eastAsia="仿宋_GB2312" w:hAnsi="TimesNewRoman" w:cs="TimesNewRoman" w:hint="eastAsia"/>
          <w:kern w:val="0"/>
          <w:sz w:val="32"/>
          <w:szCs w:val="32"/>
        </w:rPr>
        <w:t>万元，原因主要是</w:t>
      </w:r>
      <w:r w:rsidR="00F76080">
        <w:rPr>
          <w:rFonts w:ascii="TimesNewRoman" w:eastAsia="仿宋_GB2312" w:hAnsi="TimesNewRoman" w:cs="TimesNewRoman" w:hint="eastAsia"/>
          <w:kern w:val="0"/>
          <w:sz w:val="32"/>
          <w:szCs w:val="32"/>
        </w:rPr>
        <w:t>2024</w:t>
      </w:r>
      <w:r w:rsidR="00F76080">
        <w:rPr>
          <w:rFonts w:ascii="TimesNewRoman" w:eastAsia="仿宋_GB2312" w:hAnsi="TimesNewRoman" w:cs="TimesNewRoman" w:hint="eastAsia"/>
          <w:kern w:val="0"/>
          <w:sz w:val="32"/>
          <w:szCs w:val="32"/>
        </w:rPr>
        <w:t>年因功能科目变动没有此项预算</w:t>
      </w:r>
      <w:r w:rsidR="00F76080" w:rsidRPr="009A3CA3">
        <w:rPr>
          <w:rFonts w:ascii="TimesNewRoman" w:eastAsia="仿宋_GB2312" w:hAnsi="TimesNewRoman" w:cs="TimesNewRoman" w:hint="eastAsia"/>
          <w:kern w:val="0"/>
          <w:sz w:val="32"/>
          <w:szCs w:val="32"/>
        </w:rPr>
        <w:t>。</w:t>
      </w:r>
    </w:p>
    <w:p w:rsidR="00F76080" w:rsidRPr="009A3CA3" w:rsidRDefault="00E907C4" w:rsidP="00F76080">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、住房保障支出（类）住房改革支出（款）住房公积金（项）</w:t>
      </w:r>
      <w:r w:rsidR="00DB2A5C">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w:t>
      </w:r>
      <w:r w:rsidR="00F76080">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万元，比</w:t>
      </w:r>
      <w:r w:rsidR="00DB2A5C">
        <w:rPr>
          <w:rFonts w:ascii="TimesNewRoman" w:eastAsia="仿宋_GB2312" w:hAnsi="TimesNewRoman" w:cs="TimesNewRoman" w:hint="eastAsia"/>
          <w:kern w:val="0"/>
          <w:sz w:val="32"/>
          <w:szCs w:val="32"/>
        </w:rPr>
        <w:t>2023</w:t>
      </w:r>
      <w:r w:rsidRPr="009A3CA3">
        <w:rPr>
          <w:rFonts w:ascii="TimesNewRoman" w:eastAsia="仿宋_GB2312" w:hAnsi="TimesNewRoman" w:cs="TimesNewRoman" w:hint="eastAsia"/>
          <w:kern w:val="0"/>
          <w:sz w:val="32"/>
          <w:szCs w:val="32"/>
        </w:rPr>
        <w:t>年预算减少</w:t>
      </w:r>
      <w:r w:rsidR="00AE6A5D">
        <w:rPr>
          <w:rFonts w:ascii="TimesNewRoman" w:eastAsia="仿宋_GB2312" w:hAnsi="TimesNewRoman" w:cs="TimesNewRoman" w:hint="eastAsia"/>
          <w:kern w:val="0"/>
          <w:sz w:val="32"/>
          <w:szCs w:val="32"/>
        </w:rPr>
        <w:t>57.63</w:t>
      </w:r>
      <w:r w:rsidRPr="009A3CA3">
        <w:rPr>
          <w:rFonts w:ascii="TimesNewRoman" w:eastAsia="仿宋_GB2312" w:hAnsi="TimesNewRoman" w:cs="TimesNewRoman" w:hint="eastAsia"/>
          <w:kern w:val="0"/>
          <w:sz w:val="32"/>
          <w:szCs w:val="32"/>
        </w:rPr>
        <w:t>万元，原因主要是</w:t>
      </w:r>
      <w:r w:rsidR="00F76080">
        <w:rPr>
          <w:rFonts w:ascii="TimesNewRoman" w:eastAsia="仿宋_GB2312" w:hAnsi="TimesNewRoman" w:cs="TimesNewRoman" w:hint="eastAsia"/>
          <w:kern w:val="0"/>
          <w:sz w:val="32"/>
          <w:szCs w:val="32"/>
        </w:rPr>
        <w:t>2024</w:t>
      </w:r>
      <w:r w:rsidR="00F76080">
        <w:rPr>
          <w:rFonts w:ascii="TimesNewRoman" w:eastAsia="仿宋_GB2312" w:hAnsi="TimesNewRoman" w:cs="TimesNewRoman" w:hint="eastAsia"/>
          <w:kern w:val="0"/>
          <w:sz w:val="32"/>
          <w:szCs w:val="32"/>
        </w:rPr>
        <w:t>年因功能科目变动没有此项预算</w:t>
      </w:r>
      <w:r w:rsidR="00F76080" w:rsidRPr="009A3CA3">
        <w:rPr>
          <w:rFonts w:ascii="TimesNewRoman" w:eastAsia="仿宋_GB2312" w:hAnsi="TimesNewRoman" w:cs="TimesNewRoman" w:hint="eastAsia"/>
          <w:kern w:val="0"/>
          <w:sz w:val="32"/>
          <w:szCs w:val="32"/>
        </w:rPr>
        <w:t>。</w:t>
      </w:r>
    </w:p>
    <w:p w:rsidR="00AE6A5D" w:rsidRPr="009A3CA3" w:rsidRDefault="007E4B26" w:rsidP="00AE6A5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w:t>
      </w:r>
      <w:r w:rsidR="00AE6A5D">
        <w:rPr>
          <w:rFonts w:ascii="TimesNewRoman" w:eastAsia="仿宋_GB2312" w:hAnsi="TimesNewRoman" w:cs="TimesNewRoman" w:hint="eastAsia"/>
          <w:kern w:val="0"/>
          <w:sz w:val="32"/>
          <w:szCs w:val="32"/>
        </w:rPr>
        <w:t>卫生健康支出（类）行政事业单位医疗（款）事业单位医疗（项），</w:t>
      </w:r>
      <w:r w:rsidR="00AE6A5D" w:rsidRPr="009A3CA3">
        <w:rPr>
          <w:rFonts w:ascii="TimesNewRoman" w:eastAsia="仿宋_GB2312" w:hAnsi="TimesNewRoman" w:cs="TimesNewRoman" w:hint="eastAsia"/>
          <w:kern w:val="0"/>
          <w:sz w:val="32"/>
          <w:szCs w:val="32"/>
        </w:rPr>
        <w:t>202</w:t>
      </w:r>
      <w:r w:rsidR="00AE6A5D">
        <w:rPr>
          <w:rFonts w:ascii="TimesNewRoman" w:eastAsia="仿宋_GB2312" w:hAnsi="TimesNewRoman" w:cs="TimesNewRoman" w:hint="eastAsia"/>
          <w:kern w:val="0"/>
          <w:sz w:val="32"/>
          <w:szCs w:val="32"/>
        </w:rPr>
        <w:t>4</w:t>
      </w:r>
      <w:r w:rsidR="00AE6A5D" w:rsidRPr="009A3CA3">
        <w:rPr>
          <w:rFonts w:ascii="TimesNewRoman" w:eastAsia="仿宋_GB2312" w:hAnsi="TimesNewRoman" w:cs="TimesNewRoman" w:hint="eastAsia"/>
          <w:kern w:val="0"/>
          <w:sz w:val="32"/>
          <w:szCs w:val="32"/>
        </w:rPr>
        <w:t>年预算</w:t>
      </w:r>
      <w:r w:rsidR="00AE6A5D">
        <w:rPr>
          <w:rFonts w:ascii="TimesNewRoman" w:eastAsia="仿宋_GB2312" w:hAnsi="TimesNewRoman" w:cs="TimesNewRoman" w:hint="eastAsia"/>
          <w:kern w:val="0"/>
          <w:sz w:val="32"/>
          <w:szCs w:val="32"/>
        </w:rPr>
        <w:t>0</w:t>
      </w:r>
      <w:r w:rsidR="00AE6A5D" w:rsidRPr="009A3CA3">
        <w:rPr>
          <w:rFonts w:ascii="TimesNewRoman" w:eastAsia="仿宋_GB2312" w:hAnsi="TimesNewRoman" w:cs="TimesNewRoman" w:hint="eastAsia"/>
          <w:kern w:val="0"/>
          <w:sz w:val="32"/>
          <w:szCs w:val="32"/>
        </w:rPr>
        <w:t>万元，比</w:t>
      </w:r>
      <w:r w:rsidR="00AE6A5D" w:rsidRPr="009A3CA3">
        <w:rPr>
          <w:rFonts w:ascii="TimesNewRoman" w:eastAsia="仿宋_GB2312" w:hAnsi="TimesNewRoman" w:cs="TimesNewRoman" w:hint="eastAsia"/>
          <w:kern w:val="0"/>
          <w:sz w:val="32"/>
          <w:szCs w:val="32"/>
        </w:rPr>
        <w:t>202</w:t>
      </w:r>
      <w:r w:rsidR="00AE6A5D">
        <w:rPr>
          <w:rFonts w:ascii="TimesNewRoman" w:eastAsia="仿宋_GB2312" w:hAnsi="TimesNewRoman" w:cs="TimesNewRoman" w:hint="eastAsia"/>
          <w:kern w:val="0"/>
          <w:sz w:val="32"/>
          <w:szCs w:val="32"/>
        </w:rPr>
        <w:t>3</w:t>
      </w:r>
      <w:r w:rsidR="00AE6A5D" w:rsidRPr="009A3CA3">
        <w:rPr>
          <w:rFonts w:ascii="TimesNewRoman" w:eastAsia="仿宋_GB2312" w:hAnsi="TimesNewRoman" w:cs="TimesNewRoman" w:hint="eastAsia"/>
          <w:kern w:val="0"/>
          <w:sz w:val="32"/>
          <w:szCs w:val="32"/>
        </w:rPr>
        <w:t>年预算</w:t>
      </w:r>
      <w:r w:rsidR="00AE6A5D">
        <w:rPr>
          <w:rFonts w:ascii="TimesNewRoman" w:eastAsia="仿宋_GB2312" w:hAnsi="TimesNewRoman" w:cs="TimesNewRoman" w:hint="eastAsia"/>
          <w:kern w:val="0"/>
          <w:sz w:val="32"/>
          <w:szCs w:val="32"/>
        </w:rPr>
        <w:t>减少</w:t>
      </w:r>
      <w:r w:rsidR="00AE6A5D">
        <w:rPr>
          <w:rFonts w:ascii="TimesNewRoman" w:eastAsia="仿宋_GB2312" w:hAnsi="TimesNewRoman" w:cs="TimesNewRoman" w:hint="eastAsia"/>
          <w:kern w:val="0"/>
          <w:sz w:val="32"/>
          <w:szCs w:val="32"/>
        </w:rPr>
        <w:t>21.35</w:t>
      </w:r>
      <w:r w:rsidR="00AE6A5D" w:rsidRPr="009A3CA3">
        <w:rPr>
          <w:rFonts w:ascii="TimesNewRoman" w:eastAsia="仿宋_GB2312" w:hAnsi="TimesNewRoman" w:cs="TimesNewRoman" w:hint="eastAsia"/>
          <w:kern w:val="0"/>
          <w:sz w:val="32"/>
          <w:szCs w:val="32"/>
        </w:rPr>
        <w:t>万元，原因主要是</w:t>
      </w:r>
      <w:r w:rsidR="00AE6A5D">
        <w:rPr>
          <w:rFonts w:ascii="TimesNewRoman" w:eastAsia="仿宋_GB2312" w:hAnsi="TimesNewRoman" w:cs="TimesNewRoman" w:hint="eastAsia"/>
          <w:kern w:val="0"/>
          <w:sz w:val="32"/>
          <w:szCs w:val="32"/>
        </w:rPr>
        <w:t>2024</w:t>
      </w:r>
      <w:r w:rsidR="00AE6A5D">
        <w:rPr>
          <w:rFonts w:ascii="TimesNewRoman" w:eastAsia="仿宋_GB2312" w:hAnsi="TimesNewRoman" w:cs="TimesNewRoman" w:hint="eastAsia"/>
          <w:kern w:val="0"/>
          <w:sz w:val="32"/>
          <w:szCs w:val="32"/>
        </w:rPr>
        <w:t>年因功能科目变动没有此项预算</w:t>
      </w:r>
      <w:r w:rsidR="00AE6A5D" w:rsidRPr="009A3CA3">
        <w:rPr>
          <w:rFonts w:ascii="TimesNewRoman" w:eastAsia="仿宋_GB2312" w:hAnsi="TimesNewRoman" w:cs="TimesNewRoman" w:hint="eastAsia"/>
          <w:kern w:val="0"/>
          <w:sz w:val="32"/>
          <w:szCs w:val="32"/>
        </w:rPr>
        <w:t>。</w:t>
      </w:r>
    </w:p>
    <w:p w:rsidR="007E4B26" w:rsidRDefault="00AE6A5D" w:rsidP="007E4B2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w:t>
      </w:r>
      <w:r w:rsidR="007E4B26">
        <w:rPr>
          <w:rFonts w:ascii="TimesNewRoman" w:eastAsia="仿宋_GB2312" w:hAnsi="TimesNewRoman" w:cs="TimesNewRoman" w:hint="eastAsia"/>
          <w:kern w:val="0"/>
          <w:sz w:val="32"/>
          <w:szCs w:val="32"/>
        </w:rPr>
        <w:t>农林水支出</w:t>
      </w:r>
      <w:r w:rsidR="007E4B26" w:rsidRPr="009A3CA3">
        <w:rPr>
          <w:rFonts w:ascii="TimesNewRoman" w:eastAsia="仿宋_GB2312" w:hAnsi="TimesNewRoman" w:cs="TimesNewRoman" w:hint="eastAsia"/>
          <w:kern w:val="0"/>
          <w:sz w:val="32"/>
          <w:szCs w:val="32"/>
        </w:rPr>
        <w:t>（类）</w:t>
      </w:r>
      <w:r w:rsidR="007E4B26">
        <w:rPr>
          <w:rFonts w:ascii="TimesNewRoman" w:eastAsia="仿宋_GB2312" w:hAnsi="TimesNewRoman" w:cs="TimesNewRoman" w:hint="eastAsia"/>
          <w:kern w:val="0"/>
          <w:sz w:val="32"/>
          <w:szCs w:val="32"/>
        </w:rPr>
        <w:t>农业农村</w:t>
      </w:r>
      <w:r w:rsidR="007E4B26" w:rsidRPr="009A3CA3">
        <w:rPr>
          <w:rFonts w:ascii="TimesNewRoman" w:eastAsia="仿宋_GB2312" w:hAnsi="TimesNewRoman" w:cs="TimesNewRoman" w:hint="eastAsia"/>
          <w:kern w:val="0"/>
          <w:sz w:val="32"/>
          <w:szCs w:val="32"/>
        </w:rPr>
        <w:t>支出（款）</w:t>
      </w:r>
      <w:r w:rsidR="007E4B26">
        <w:rPr>
          <w:rFonts w:ascii="TimesNewRoman" w:eastAsia="仿宋_GB2312" w:hAnsi="TimesNewRoman" w:cs="TimesNewRoman" w:hint="eastAsia"/>
          <w:kern w:val="0"/>
          <w:sz w:val="32"/>
          <w:szCs w:val="32"/>
        </w:rPr>
        <w:t>事业运行</w:t>
      </w:r>
      <w:r w:rsidR="007E4B26" w:rsidRPr="009A3CA3">
        <w:rPr>
          <w:rFonts w:ascii="TimesNewRoman" w:eastAsia="仿宋_GB2312" w:hAnsi="TimesNewRoman" w:cs="TimesNewRoman" w:hint="eastAsia"/>
          <w:kern w:val="0"/>
          <w:sz w:val="32"/>
          <w:szCs w:val="32"/>
        </w:rPr>
        <w:t>（项）</w:t>
      </w:r>
      <w:r w:rsidR="007E4B26">
        <w:rPr>
          <w:rFonts w:ascii="TimesNewRoman" w:eastAsia="仿宋_GB2312" w:hAnsi="TimesNewRoman" w:cs="TimesNewRoman" w:hint="eastAsia"/>
          <w:kern w:val="0"/>
          <w:sz w:val="32"/>
          <w:szCs w:val="32"/>
        </w:rPr>
        <w:t>，</w:t>
      </w:r>
      <w:r w:rsidR="007E4B26" w:rsidRPr="009A3CA3">
        <w:rPr>
          <w:rFonts w:ascii="TimesNewRoman" w:eastAsia="仿宋_GB2312" w:hAnsi="TimesNewRoman" w:cs="TimesNewRoman" w:hint="eastAsia"/>
          <w:kern w:val="0"/>
          <w:sz w:val="32"/>
          <w:szCs w:val="32"/>
        </w:rPr>
        <w:t>202</w:t>
      </w:r>
      <w:r w:rsidR="007E4B26">
        <w:rPr>
          <w:rFonts w:ascii="TimesNewRoman" w:eastAsia="仿宋_GB2312" w:hAnsi="TimesNewRoman" w:cs="TimesNewRoman" w:hint="eastAsia"/>
          <w:kern w:val="0"/>
          <w:sz w:val="32"/>
          <w:szCs w:val="32"/>
        </w:rPr>
        <w:t>4</w:t>
      </w:r>
      <w:r w:rsidR="007E4B26" w:rsidRPr="009A3CA3">
        <w:rPr>
          <w:rFonts w:ascii="TimesNewRoman" w:eastAsia="仿宋_GB2312" w:hAnsi="TimesNewRoman" w:cs="TimesNewRoman" w:hint="eastAsia"/>
          <w:kern w:val="0"/>
          <w:sz w:val="32"/>
          <w:szCs w:val="32"/>
        </w:rPr>
        <w:t>年预算</w:t>
      </w:r>
      <w:r w:rsidR="007E4B26">
        <w:rPr>
          <w:rFonts w:ascii="TimesNewRoman" w:eastAsia="仿宋_GB2312" w:hAnsi="TimesNewRoman" w:cs="TimesNewRoman" w:hint="eastAsia"/>
          <w:kern w:val="0"/>
          <w:sz w:val="32"/>
          <w:szCs w:val="32"/>
        </w:rPr>
        <w:t>673.23</w:t>
      </w:r>
      <w:r w:rsidR="007E4B26" w:rsidRPr="009A3CA3">
        <w:rPr>
          <w:rFonts w:ascii="TimesNewRoman" w:eastAsia="仿宋_GB2312" w:hAnsi="TimesNewRoman" w:cs="TimesNewRoman" w:hint="eastAsia"/>
          <w:kern w:val="0"/>
          <w:sz w:val="32"/>
          <w:szCs w:val="32"/>
        </w:rPr>
        <w:t>万元，比</w:t>
      </w:r>
      <w:r w:rsidR="007E4B26" w:rsidRPr="009A3CA3">
        <w:rPr>
          <w:rFonts w:ascii="TimesNewRoman" w:eastAsia="仿宋_GB2312" w:hAnsi="TimesNewRoman" w:cs="TimesNewRoman" w:hint="eastAsia"/>
          <w:kern w:val="0"/>
          <w:sz w:val="32"/>
          <w:szCs w:val="32"/>
        </w:rPr>
        <w:t>202</w:t>
      </w:r>
      <w:r w:rsidR="007E4B26">
        <w:rPr>
          <w:rFonts w:ascii="TimesNewRoman" w:eastAsia="仿宋_GB2312" w:hAnsi="TimesNewRoman" w:cs="TimesNewRoman" w:hint="eastAsia"/>
          <w:kern w:val="0"/>
          <w:sz w:val="32"/>
          <w:szCs w:val="32"/>
        </w:rPr>
        <w:t>3</w:t>
      </w:r>
      <w:r w:rsidR="007E4B26" w:rsidRPr="009A3CA3">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增加</w:t>
      </w:r>
      <w:r>
        <w:rPr>
          <w:rFonts w:ascii="TimesNewRoman" w:eastAsia="仿宋_GB2312" w:hAnsi="TimesNewRoman" w:cs="TimesNewRoman" w:hint="eastAsia"/>
          <w:kern w:val="0"/>
          <w:sz w:val="32"/>
          <w:szCs w:val="32"/>
        </w:rPr>
        <w:t>224.81</w:t>
      </w:r>
      <w:r w:rsidR="007E4B26" w:rsidRPr="009A3CA3">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50.13</w:t>
      </w:r>
      <w:r w:rsidR="007E4B26" w:rsidRPr="009A3CA3">
        <w:rPr>
          <w:rFonts w:ascii="TimesNewRoman" w:eastAsia="仿宋_GB2312" w:hAnsi="TimesNewRoman" w:cs="TimesNewRoman" w:hint="eastAsia"/>
          <w:kern w:val="0"/>
          <w:sz w:val="32"/>
          <w:szCs w:val="32"/>
        </w:rPr>
        <w:t>%</w:t>
      </w:r>
      <w:r w:rsidR="007E4B26" w:rsidRPr="009A3CA3">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因功能科目变动而增加的住房保障支出、卫生健康支出、住房保障支出等。</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六、关于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年一般公共预算基本支出表的说明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02032E">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年一般公共预算基本支出</w:t>
      </w:r>
      <w:r w:rsidR="00134F13">
        <w:rPr>
          <w:rFonts w:ascii="TimesNewRoman" w:eastAsia="仿宋_GB2312" w:hAnsi="TimesNewRoman" w:cs="TimesNewRoman" w:hint="eastAsia"/>
          <w:kern w:val="0"/>
          <w:sz w:val="32"/>
          <w:szCs w:val="32"/>
        </w:rPr>
        <w:t>623.23</w:t>
      </w:r>
      <w:r w:rsidRPr="009A3CA3">
        <w:rPr>
          <w:rFonts w:ascii="TimesNewRoman" w:eastAsia="仿宋_GB2312" w:hAnsi="TimesNewRoman" w:cs="TimesNewRoman" w:hint="eastAsia"/>
          <w:kern w:val="0"/>
          <w:sz w:val="32"/>
          <w:szCs w:val="32"/>
        </w:rPr>
        <w:t>万元，其中，人员经费</w:t>
      </w:r>
      <w:r w:rsidR="00134F13">
        <w:rPr>
          <w:rFonts w:ascii="TimesNewRoman" w:eastAsia="仿宋_GB2312" w:hAnsi="TimesNewRoman" w:cs="TimesNewRoman" w:hint="eastAsia"/>
          <w:kern w:val="0"/>
          <w:sz w:val="32"/>
          <w:szCs w:val="32"/>
        </w:rPr>
        <w:t>565.31</w:t>
      </w:r>
      <w:r w:rsidRPr="009A3CA3">
        <w:rPr>
          <w:rFonts w:ascii="TimesNewRoman" w:eastAsia="仿宋_GB2312" w:hAnsi="TimesNewRoman" w:cs="TimesNewRoman" w:hint="eastAsia"/>
          <w:kern w:val="0"/>
          <w:sz w:val="32"/>
          <w:szCs w:val="32"/>
        </w:rPr>
        <w:t>万元，公用经费</w:t>
      </w:r>
      <w:r w:rsidR="00134F13">
        <w:rPr>
          <w:rFonts w:ascii="TimesNewRoman" w:eastAsia="仿宋_GB2312" w:hAnsi="TimesNewRoman" w:cs="TimesNewRoman" w:hint="eastAsia"/>
          <w:kern w:val="0"/>
          <w:sz w:val="32"/>
          <w:szCs w:val="32"/>
        </w:rPr>
        <w:t>57.92</w:t>
      </w:r>
      <w:r w:rsidRPr="009A3CA3">
        <w:rPr>
          <w:rFonts w:ascii="TimesNewRoman" w:eastAsia="仿宋_GB2312" w:hAnsi="TimesNewRoman" w:cs="TimesNewRoman" w:hint="eastAsia"/>
          <w:kern w:val="0"/>
          <w:sz w:val="32"/>
          <w:szCs w:val="32"/>
        </w:rPr>
        <w:t>万元。</w:t>
      </w:r>
    </w:p>
    <w:p w:rsidR="00E907C4" w:rsidRPr="009A3CA3" w:rsidRDefault="00E907C4" w:rsidP="009A3CA3">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（一）人员经费</w:t>
      </w:r>
      <w:r w:rsidR="00134F13">
        <w:rPr>
          <w:rFonts w:ascii="TimesNewRoman" w:eastAsia="仿宋_GB2312" w:hAnsi="TimesNewRoman" w:cs="TimesNewRoman" w:hint="eastAsia"/>
          <w:b/>
          <w:kern w:val="0"/>
          <w:sz w:val="32"/>
          <w:szCs w:val="32"/>
        </w:rPr>
        <w:t>565.31</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基本工资、津贴补贴、奖金、伙食补助费、绩效工资、机关事业单位基本养老保险费、职业年金缴费、职工基本医疗保险缴费、公务员医疗补助缴费、其他社会保障缴费、工会经费、福利费、住房公积金、医疗费、其他工资福利支出、离休费、退休费、退职（役）费、抚恤金、生活补助、医疗费补助、助学金、对其他个人和家庭的补助支出。</w:t>
      </w:r>
    </w:p>
    <w:p w:rsidR="00E907C4" w:rsidRPr="009A3CA3" w:rsidRDefault="00E907C4" w:rsidP="009A3CA3">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lastRenderedPageBreak/>
        <w:t>（二）公用经费</w:t>
      </w:r>
      <w:r w:rsidR="00134F13">
        <w:rPr>
          <w:rFonts w:ascii="TimesNewRoman" w:eastAsia="仿宋_GB2312" w:hAnsi="TimesNewRoman" w:cs="TimesNewRoman" w:hint="eastAsia"/>
          <w:b/>
          <w:kern w:val="0"/>
          <w:sz w:val="32"/>
          <w:szCs w:val="32"/>
        </w:rPr>
        <w:t>57.92</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办公费、印刷费、水费、电费、邮电费、取暖费、物业管理费、差旅费、因公出国（境）费、维修（护）费、租赁费、会议费、培训费、公务接待费、专用材料费、被装购置费、专用燃料费、劳务费、委托业务费、公务用车运行维护费、其他交通费用、税金及附加费用、其他商品服务支出、房屋建筑物购建、办公设备购置、专用设备购置、基础设施建设、大型修缮、信息网络及软件购置更新、公务用车购置、其他交通工具购置、无形资产购置等。</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七、关于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年政府性基金预算支出表的说明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02032E">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年没有政府性基金预算拨款收入，也没有使用政府性基金预算拨款安排的支出。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八、关于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年国有资本经营预算支出表的说明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02032E">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年没有国有资本经营预算拨款收入，也没有使用国有资本经营预算拨款安排的支出。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九、关于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年项目支出表的说明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02032E">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年预算共安排项目支出</w:t>
      </w:r>
      <w:r w:rsidR="00134F13">
        <w:rPr>
          <w:rFonts w:ascii="TimesNewRoman" w:eastAsia="仿宋_GB2312" w:hAnsi="TimesNewRoman" w:cs="TimesNewRoman" w:hint="eastAsia"/>
          <w:kern w:val="0"/>
          <w:sz w:val="32"/>
          <w:szCs w:val="32"/>
        </w:rPr>
        <w:t>50</w:t>
      </w:r>
      <w:r w:rsidRPr="009A3CA3">
        <w:rPr>
          <w:rFonts w:ascii="TimesNewRoman" w:eastAsia="仿宋_GB2312" w:hAnsi="TimesNewRoman" w:cs="TimesNewRoman" w:hint="eastAsia"/>
          <w:kern w:val="0"/>
          <w:sz w:val="32"/>
          <w:szCs w:val="32"/>
        </w:rPr>
        <w:t>万元，比</w:t>
      </w:r>
      <w:r w:rsidR="00DB2A5C">
        <w:rPr>
          <w:rFonts w:ascii="TimesNewRoman" w:eastAsia="仿宋_GB2312" w:hAnsi="TimesNewRoman" w:cs="TimesNewRoman" w:hint="eastAsia"/>
          <w:kern w:val="0"/>
          <w:sz w:val="32"/>
          <w:szCs w:val="32"/>
        </w:rPr>
        <w:t>2023</w:t>
      </w:r>
      <w:r w:rsidRPr="009A3CA3">
        <w:rPr>
          <w:rFonts w:ascii="TimesNewRoman" w:eastAsia="仿宋_GB2312" w:hAnsi="TimesNewRoman" w:cs="TimesNewRoman" w:hint="eastAsia"/>
          <w:kern w:val="0"/>
          <w:sz w:val="32"/>
          <w:szCs w:val="32"/>
        </w:rPr>
        <w:t>年预算增加</w:t>
      </w:r>
      <w:r w:rsidR="00B06FF5">
        <w:rPr>
          <w:rFonts w:ascii="TimesNewRoman" w:eastAsia="仿宋_GB2312" w:hAnsi="TimesNewRoman" w:cs="TimesNewRoman" w:hint="eastAsia"/>
          <w:kern w:val="0"/>
          <w:sz w:val="32"/>
          <w:szCs w:val="32"/>
        </w:rPr>
        <w:t>0.04</w:t>
      </w:r>
      <w:r w:rsidRPr="009A3CA3">
        <w:rPr>
          <w:rFonts w:ascii="TimesNewRoman" w:eastAsia="仿宋_GB2312" w:hAnsi="TimesNewRoman" w:cs="TimesNewRoman" w:hint="eastAsia"/>
          <w:kern w:val="0"/>
          <w:sz w:val="32"/>
          <w:szCs w:val="32"/>
        </w:rPr>
        <w:t>万元，增长</w:t>
      </w:r>
      <w:r w:rsidR="00B06FF5">
        <w:rPr>
          <w:rFonts w:ascii="TimesNewRoman" w:eastAsia="仿宋_GB2312" w:hAnsi="TimesNewRoman" w:cs="TimesNewRoman" w:hint="eastAsia"/>
          <w:kern w:val="0"/>
          <w:sz w:val="32"/>
          <w:szCs w:val="32"/>
        </w:rPr>
        <w:t>0.08</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B06FF5">
        <w:rPr>
          <w:rFonts w:ascii="TimesNewRoman" w:eastAsia="仿宋_GB2312" w:hAnsi="TimesNewRoman" w:cs="TimesNewRoman" w:hint="eastAsia"/>
          <w:kern w:val="0"/>
          <w:sz w:val="32"/>
          <w:szCs w:val="32"/>
        </w:rPr>
        <w:t>增加换装执法制式服装支出</w:t>
      </w:r>
      <w:r w:rsidRPr="009A3CA3">
        <w:rPr>
          <w:rFonts w:ascii="TimesNewRoman" w:eastAsia="仿宋_GB2312" w:hAnsi="TimesNewRoman" w:cs="TimesNewRoman" w:hint="eastAsia"/>
          <w:kern w:val="0"/>
          <w:sz w:val="32"/>
          <w:szCs w:val="32"/>
        </w:rPr>
        <w:t>。主要包括：本年财政拨款安排</w:t>
      </w:r>
      <w:r w:rsidR="00B06FF5">
        <w:rPr>
          <w:rFonts w:ascii="TimesNewRoman" w:eastAsia="仿宋_GB2312" w:hAnsi="TimesNewRoman" w:cs="TimesNewRoman" w:hint="eastAsia"/>
          <w:kern w:val="0"/>
          <w:sz w:val="32"/>
          <w:szCs w:val="32"/>
        </w:rPr>
        <w:t>50</w:t>
      </w:r>
      <w:r w:rsidRPr="009A3CA3">
        <w:rPr>
          <w:rFonts w:ascii="TimesNewRoman" w:eastAsia="仿宋_GB2312" w:hAnsi="TimesNewRoman" w:cs="TimesNewRoman" w:hint="eastAsia"/>
          <w:kern w:val="0"/>
          <w:sz w:val="32"/>
          <w:szCs w:val="32"/>
        </w:rPr>
        <w:t>万元（其中，一般公共预算拨款安排</w:t>
      </w:r>
      <w:r w:rsidR="00B06FF5">
        <w:rPr>
          <w:rFonts w:ascii="TimesNewRoman" w:eastAsia="仿宋_GB2312" w:hAnsi="TimesNewRoman" w:cs="TimesNewRoman" w:hint="eastAsia"/>
          <w:kern w:val="0"/>
          <w:sz w:val="32"/>
          <w:szCs w:val="32"/>
        </w:rPr>
        <w:t>50</w:t>
      </w:r>
      <w:r w:rsidRPr="009A3CA3">
        <w:rPr>
          <w:rFonts w:ascii="TimesNewRoman" w:eastAsia="仿宋_GB2312" w:hAnsi="TimesNewRoman" w:cs="TimesNewRoman" w:hint="eastAsia"/>
          <w:kern w:val="0"/>
          <w:sz w:val="32"/>
          <w:szCs w:val="32"/>
        </w:rPr>
        <w:t>万元，政府性基金预算拨款安排</w:t>
      </w:r>
      <w:r w:rsidR="00B06FF5">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万元），财政专户管理资金安排</w:t>
      </w:r>
      <w:r w:rsidR="00B06FF5">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lastRenderedPageBreak/>
        <w:t>十、关于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年政府采购支出表的说明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02032E">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年没有使用一般公共预算拨款、政府性基金预算拨款、国有资本经营预算拨款、财政专户管理资金和单位资金安排的政府采购支出。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十一、关于</w:t>
      </w:r>
      <w:r w:rsidR="00DB2A5C">
        <w:rPr>
          <w:rFonts w:ascii="TimesNewRoman" w:eastAsia="黑体" w:hAnsi="TimesNewRoman" w:cs="TimesNewRoman" w:hint="eastAsia"/>
          <w:bCs/>
          <w:sz w:val="32"/>
          <w:szCs w:val="32"/>
        </w:rPr>
        <w:t>2024</w:t>
      </w:r>
      <w:r w:rsidRPr="009A3CA3">
        <w:rPr>
          <w:rFonts w:ascii="TimesNewRoman" w:eastAsia="黑体" w:hAnsi="TimesNewRoman" w:cs="TimesNewRoman" w:hint="eastAsia"/>
          <w:bCs/>
          <w:sz w:val="32"/>
          <w:szCs w:val="32"/>
        </w:rPr>
        <w:t>年政府购买服务支出表的说明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02032E">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年没有安排政府购买服务支出。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十二、其他重要事项情况说明</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（一）项目及绩效目标情况。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
        <w:gridCol w:w="723"/>
        <w:gridCol w:w="282"/>
        <w:gridCol w:w="477"/>
        <w:gridCol w:w="2872"/>
        <w:gridCol w:w="1848"/>
        <w:gridCol w:w="2380"/>
      </w:tblGrid>
      <w:tr w:rsidR="009A3CA3" w:rsidTr="00BD494C">
        <w:trPr>
          <w:trHeight w:val="253"/>
        </w:trPr>
        <w:tc>
          <w:tcPr>
            <w:tcW w:w="9020" w:type="dxa"/>
            <w:gridSpan w:val="7"/>
            <w:tcBorders>
              <w:top w:val="nil"/>
              <w:left w:val="nil"/>
              <w:bottom w:val="nil"/>
              <w:right w:val="nil"/>
            </w:tcBorders>
            <w:vAlign w:val="center"/>
          </w:tcPr>
          <w:p w:rsidR="009A3CA3" w:rsidRDefault="009A3CA3" w:rsidP="00BD494C">
            <w:pPr>
              <w:widowControl/>
              <w:jc w:val="center"/>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9A3CA3" w:rsidTr="00BD494C">
        <w:trPr>
          <w:trHeight w:val="270"/>
        </w:trPr>
        <w:tc>
          <w:tcPr>
            <w:tcW w:w="9020" w:type="dxa"/>
            <w:gridSpan w:val="7"/>
            <w:tcBorders>
              <w:top w:val="nil"/>
              <w:left w:val="nil"/>
              <w:right w:val="nil"/>
            </w:tcBorders>
            <w:vAlign w:val="center"/>
          </w:tcPr>
          <w:p w:rsidR="009A3CA3" w:rsidRDefault="009A3CA3" w:rsidP="00BD494C">
            <w:pPr>
              <w:widowControl/>
              <w:jc w:val="center"/>
              <w:textAlignment w:val="center"/>
              <w:rPr>
                <w:rFonts w:ascii="宋体" w:cs="宋体"/>
                <w:sz w:val="20"/>
              </w:rPr>
            </w:pPr>
            <w:r>
              <w:rPr>
                <w:rFonts w:ascii="宋体" w:eastAsia="宋体" w:hAnsi="宋体" w:cs="宋体" w:hint="eastAsia"/>
                <w:color w:val="000000"/>
                <w:kern w:val="0"/>
                <w:sz w:val="20"/>
                <w:szCs w:val="20"/>
              </w:rPr>
              <w:t xml:space="preserve"> （</w:t>
            </w:r>
            <w:r w:rsidR="00DB2A5C">
              <w:rPr>
                <w:rFonts w:ascii="宋体" w:eastAsia="宋体" w:hAnsi="宋体" w:cs="宋体" w:hint="eastAsia"/>
                <w:color w:val="000000"/>
                <w:kern w:val="0"/>
                <w:sz w:val="20"/>
                <w:szCs w:val="20"/>
              </w:rPr>
              <w:t>2024</w:t>
            </w:r>
            <w:r>
              <w:rPr>
                <w:rFonts w:ascii="宋体" w:eastAsia="宋体" w:hAnsi="宋体" w:cs="宋体" w:hint="eastAsia"/>
                <w:color w:val="000000"/>
                <w:kern w:val="0"/>
                <w:sz w:val="20"/>
                <w:szCs w:val="20"/>
              </w:rPr>
              <w:t xml:space="preserve">年度）                                </w:t>
            </w:r>
          </w:p>
        </w:tc>
      </w:tr>
      <w:tr w:rsidR="009A3CA3" w:rsidTr="00BD494C">
        <w:trPr>
          <w:trHeight w:val="330"/>
        </w:trPr>
        <w:tc>
          <w:tcPr>
            <w:tcW w:w="1443" w:type="dxa"/>
            <w:gridSpan w:val="3"/>
            <w:tcBorders>
              <w:tl2br w:val="nil"/>
              <w:tr2bl w:val="nil"/>
            </w:tcBorders>
            <w:vAlign w:val="center"/>
          </w:tcPr>
          <w:p w:rsidR="009A3CA3" w:rsidRDefault="009A3CA3" w:rsidP="00BD494C">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rsidR="009A3CA3" w:rsidRDefault="009A3CA3" w:rsidP="00BD494C">
            <w:pPr>
              <w:jc w:val="center"/>
              <w:rPr>
                <w:rFonts w:ascii="宋体" w:cs="宋体"/>
                <w:sz w:val="20"/>
              </w:rPr>
            </w:pPr>
          </w:p>
        </w:tc>
      </w:tr>
      <w:tr w:rsidR="009A3CA3" w:rsidTr="00BD494C">
        <w:trPr>
          <w:trHeight w:val="491"/>
        </w:trPr>
        <w:tc>
          <w:tcPr>
            <w:tcW w:w="1443" w:type="dxa"/>
            <w:gridSpan w:val="3"/>
            <w:tcBorders>
              <w:tl2br w:val="nil"/>
              <w:tr2bl w:val="nil"/>
            </w:tcBorders>
            <w:vAlign w:val="center"/>
          </w:tcPr>
          <w:p w:rsidR="009A3CA3" w:rsidRDefault="009A3CA3" w:rsidP="00BD494C">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   及代码</w:t>
            </w:r>
          </w:p>
        </w:tc>
        <w:tc>
          <w:tcPr>
            <w:tcW w:w="3349" w:type="dxa"/>
            <w:gridSpan w:val="2"/>
            <w:tcBorders>
              <w:tl2br w:val="nil"/>
              <w:tr2bl w:val="nil"/>
            </w:tcBorders>
            <w:vAlign w:val="center"/>
          </w:tcPr>
          <w:p w:rsidR="009A3CA3" w:rsidRDefault="009A3CA3" w:rsidP="00BD494C">
            <w:pPr>
              <w:jc w:val="center"/>
              <w:rPr>
                <w:rFonts w:ascii="宋体" w:cs="宋体"/>
                <w:sz w:val="20"/>
              </w:rPr>
            </w:pPr>
          </w:p>
        </w:tc>
        <w:tc>
          <w:tcPr>
            <w:tcW w:w="1848" w:type="dxa"/>
            <w:tcBorders>
              <w:tl2br w:val="nil"/>
              <w:tr2bl w:val="nil"/>
            </w:tcBorders>
            <w:vAlign w:val="center"/>
          </w:tcPr>
          <w:p w:rsidR="009A3CA3" w:rsidRDefault="009A3CA3" w:rsidP="00BD494C">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rsidR="009A3CA3" w:rsidRDefault="009A3CA3" w:rsidP="00BD494C">
            <w:pPr>
              <w:jc w:val="center"/>
            </w:pPr>
          </w:p>
        </w:tc>
      </w:tr>
      <w:tr w:rsidR="009A3CA3" w:rsidTr="00BD494C">
        <w:trPr>
          <w:trHeight w:val="330"/>
        </w:trPr>
        <w:tc>
          <w:tcPr>
            <w:tcW w:w="1443" w:type="dxa"/>
            <w:gridSpan w:val="3"/>
            <w:tcBorders>
              <w:tl2br w:val="nil"/>
              <w:tr2bl w:val="nil"/>
            </w:tcBorders>
            <w:vAlign w:val="center"/>
          </w:tcPr>
          <w:p w:rsidR="009A3CA3" w:rsidRDefault="009A3CA3" w:rsidP="00BD494C">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349" w:type="dxa"/>
            <w:gridSpan w:val="2"/>
            <w:tcBorders>
              <w:tl2br w:val="nil"/>
              <w:tr2bl w:val="nil"/>
            </w:tcBorders>
            <w:vAlign w:val="center"/>
          </w:tcPr>
          <w:p w:rsidR="009A3CA3" w:rsidRDefault="009A3CA3" w:rsidP="00BD494C">
            <w:pPr>
              <w:jc w:val="center"/>
              <w:rPr>
                <w:rFonts w:ascii="宋体" w:cs="宋体"/>
                <w:sz w:val="20"/>
              </w:rPr>
            </w:pPr>
          </w:p>
        </w:tc>
        <w:tc>
          <w:tcPr>
            <w:tcW w:w="1848" w:type="dxa"/>
            <w:tcBorders>
              <w:tl2br w:val="nil"/>
              <w:tr2bl w:val="nil"/>
            </w:tcBorders>
            <w:vAlign w:val="center"/>
          </w:tcPr>
          <w:p w:rsidR="009A3CA3" w:rsidRDefault="009A3CA3" w:rsidP="00BD494C">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rsidR="009A3CA3" w:rsidRDefault="009A3CA3" w:rsidP="00BD494C">
            <w:pPr>
              <w:jc w:val="center"/>
            </w:pPr>
          </w:p>
        </w:tc>
      </w:tr>
      <w:tr w:rsidR="009A3CA3" w:rsidTr="00BD494C">
        <w:trPr>
          <w:trHeight w:val="330"/>
        </w:trPr>
        <w:tc>
          <w:tcPr>
            <w:tcW w:w="1443" w:type="dxa"/>
            <w:gridSpan w:val="3"/>
            <w:vMerge w:val="restart"/>
            <w:tcBorders>
              <w:tl2br w:val="nil"/>
              <w:tr2bl w:val="nil"/>
            </w:tcBorders>
            <w:vAlign w:val="center"/>
          </w:tcPr>
          <w:p w:rsidR="009A3CA3" w:rsidRDefault="009A3CA3" w:rsidP="00BD494C">
            <w:pPr>
              <w:widowControl/>
              <w:jc w:val="center"/>
              <w:textAlignment w:val="center"/>
              <w:rPr>
                <w:rFonts w:ascii="宋体" w:cs="宋体"/>
                <w:sz w:val="20"/>
              </w:rPr>
            </w:pPr>
            <w:r>
              <w:rPr>
                <w:rFonts w:ascii="宋体" w:eastAsia="宋体" w:hAnsi="宋体" w:cs="宋体" w:hint="eastAsia"/>
                <w:color w:val="000000"/>
                <w:kern w:val="0"/>
                <w:sz w:val="20"/>
                <w:szCs w:val="20"/>
              </w:rPr>
              <w:lastRenderedPageBreak/>
              <w:t>项目资金</w:t>
            </w:r>
            <w:r>
              <w:rPr>
                <w:rFonts w:ascii="宋体" w:eastAsia="宋体" w:hAnsi="宋体" w:cs="宋体" w:hint="eastAsia"/>
                <w:color w:val="000000"/>
                <w:kern w:val="0"/>
                <w:sz w:val="20"/>
                <w:szCs w:val="20"/>
              </w:rPr>
              <w:br/>
              <w:t>（万元）</w:t>
            </w:r>
          </w:p>
        </w:tc>
        <w:tc>
          <w:tcPr>
            <w:tcW w:w="3349" w:type="dxa"/>
            <w:gridSpan w:val="2"/>
            <w:tcBorders>
              <w:tl2br w:val="nil"/>
              <w:tr2bl w:val="nil"/>
            </w:tcBorders>
            <w:vAlign w:val="center"/>
          </w:tcPr>
          <w:p w:rsidR="009A3CA3" w:rsidRDefault="009A3CA3" w:rsidP="00BD494C">
            <w:pPr>
              <w:widowControl/>
              <w:jc w:val="left"/>
              <w:textAlignment w:val="center"/>
              <w:rPr>
                <w:rFonts w:ascii="宋体" w:cs="宋体"/>
                <w:sz w:val="20"/>
              </w:rPr>
            </w:pPr>
            <w:r>
              <w:rPr>
                <w:rFonts w:ascii="宋体" w:eastAsia="宋体" w:hAnsi="宋体" w:cs="宋体" w:hint="eastAsia"/>
                <w:color w:val="000000"/>
                <w:kern w:val="0"/>
                <w:sz w:val="20"/>
                <w:szCs w:val="20"/>
              </w:rPr>
              <w:t xml:space="preserve"> 年度资金总额：</w:t>
            </w:r>
          </w:p>
        </w:tc>
        <w:tc>
          <w:tcPr>
            <w:tcW w:w="4228" w:type="dxa"/>
            <w:gridSpan w:val="2"/>
            <w:tcBorders>
              <w:tl2br w:val="nil"/>
              <w:tr2bl w:val="nil"/>
            </w:tcBorders>
            <w:vAlign w:val="center"/>
          </w:tcPr>
          <w:p w:rsidR="009A3CA3" w:rsidRDefault="009A3CA3" w:rsidP="00BD494C">
            <w:pPr>
              <w:jc w:val="right"/>
              <w:rPr>
                <w:rFonts w:ascii="宋体" w:cs="宋体"/>
                <w:sz w:val="20"/>
              </w:rPr>
            </w:pPr>
          </w:p>
        </w:tc>
      </w:tr>
      <w:tr w:rsidR="009A3CA3" w:rsidTr="00BD494C">
        <w:trPr>
          <w:trHeight w:val="330"/>
        </w:trPr>
        <w:tc>
          <w:tcPr>
            <w:tcW w:w="1443" w:type="dxa"/>
            <w:gridSpan w:val="3"/>
            <w:vMerge/>
            <w:tcBorders>
              <w:tl2br w:val="nil"/>
              <w:tr2bl w:val="nil"/>
            </w:tcBorders>
            <w:vAlign w:val="center"/>
          </w:tcPr>
          <w:p w:rsidR="009A3CA3" w:rsidRDefault="009A3CA3" w:rsidP="00BD494C">
            <w:pPr>
              <w:jc w:val="center"/>
              <w:rPr>
                <w:rFonts w:ascii="宋体" w:cs="宋体"/>
                <w:sz w:val="20"/>
              </w:rPr>
            </w:pPr>
          </w:p>
        </w:tc>
        <w:tc>
          <w:tcPr>
            <w:tcW w:w="3349" w:type="dxa"/>
            <w:gridSpan w:val="2"/>
            <w:tcBorders>
              <w:tl2br w:val="nil"/>
              <w:tr2bl w:val="nil"/>
            </w:tcBorders>
            <w:vAlign w:val="center"/>
          </w:tcPr>
          <w:p w:rsidR="009A3CA3" w:rsidRDefault="009A3CA3" w:rsidP="00BD494C">
            <w:pPr>
              <w:widowControl/>
              <w:jc w:val="left"/>
              <w:textAlignment w:val="center"/>
              <w:rPr>
                <w:rFonts w:ascii="宋体" w:cs="宋体"/>
                <w:sz w:val="20"/>
              </w:rPr>
            </w:pPr>
            <w:r>
              <w:rPr>
                <w:rFonts w:ascii="宋体" w:eastAsia="宋体" w:hAnsi="宋体" w:cs="宋体" w:hint="eastAsia"/>
                <w:color w:val="000000"/>
                <w:kern w:val="0"/>
                <w:sz w:val="20"/>
                <w:szCs w:val="20"/>
              </w:rPr>
              <w:t xml:space="preserve">   其中：财政拨款</w:t>
            </w:r>
          </w:p>
        </w:tc>
        <w:tc>
          <w:tcPr>
            <w:tcW w:w="4228" w:type="dxa"/>
            <w:gridSpan w:val="2"/>
            <w:tcBorders>
              <w:tl2br w:val="nil"/>
              <w:tr2bl w:val="nil"/>
            </w:tcBorders>
            <w:vAlign w:val="center"/>
          </w:tcPr>
          <w:p w:rsidR="009A3CA3" w:rsidRDefault="009A3CA3" w:rsidP="00BD494C">
            <w:pPr>
              <w:jc w:val="right"/>
              <w:rPr>
                <w:rFonts w:ascii="宋体" w:cs="宋体"/>
                <w:sz w:val="20"/>
              </w:rPr>
            </w:pPr>
          </w:p>
        </w:tc>
      </w:tr>
      <w:tr w:rsidR="009A3CA3" w:rsidTr="00BD494C">
        <w:trPr>
          <w:trHeight w:val="330"/>
        </w:trPr>
        <w:tc>
          <w:tcPr>
            <w:tcW w:w="1443" w:type="dxa"/>
            <w:gridSpan w:val="3"/>
            <w:vMerge/>
            <w:tcBorders>
              <w:tl2br w:val="nil"/>
              <w:tr2bl w:val="nil"/>
            </w:tcBorders>
            <w:vAlign w:val="center"/>
          </w:tcPr>
          <w:p w:rsidR="009A3CA3" w:rsidRDefault="009A3CA3" w:rsidP="00BD494C">
            <w:pPr>
              <w:jc w:val="center"/>
              <w:rPr>
                <w:rFonts w:ascii="宋体" w:cs="宋体"/>
                <w:sz w:val="20"/>
              </w:rPr>
            </w:pPr>
          </w:p>
        </w:tc>
        <w:tc>
          <w:tcPr>
            <w:tcW w:w="3349" w:type="dxa"/>
            <w:gridSpan w:val="2"/>
            <w:tcBorders>
              <w:tl2br w:val="nil"/>
              <w:tr2bl w:val="nil"/>
            </w:tcBorders>
            <w:vAlign w:val="center"/>
          </w:tcPr>
          <w:p w:rsidR="009A3CA3" w:rsidRDefault="009A3CA3" w:rsidP="00BD494C">
            <w:pPr>
              <w:widowControl/>
              <w:jc w:val="left"/>
              <w:textAlignment w:val="center"/>
              <w:rPr>
                <w:rFonts w:ascii="宋体" w:cs="宋体"/>
                <w:sz w:val="20"/>
              </w:rPr>
            </w:pPr>
            <w:r>
              <w:rPr>
                <w:rFonts w:ascii="宋体" w:eastAsia="宋体" w:hAnsi="宋体" w:cs="宋体" w:hint="eastAsia"/>
                <w:color w:val="000000"/>
                <w:kern w:val="0"/>
                <w:sz w:val="20"/>
                <w:szCs w:val="20"/>
              </w:rPr>
              <w:t xml:space="preserve">         上年结转</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30"/>
        </w:trPr>
        <w:tc>
          <w:tcPr>
            <w:tcW w:w="1443" w:type="dxa"/>
            <w:gridSpan w:val="3"/>
            <w:vMerge/>
            <w:tcBorders>
              <w:tl2br w:val="nil"/>
              <w:tr2bl w:val="nil"/>
            </w:tcBorders>
            <w:vAlign w:val="center"/>
          </w:tcPr>
          <w:p w:rsidR="009A3CA3" w:rsidRDefault="009A3CA3" w:rsidP="00BD494C">
            <w:pPr>
              <w:jc w:val="center"/>
              <w:rPr>
                <w:rFonts w:ascii="宋体" w:cs="宋体"/>
                <w:sz w:val="20"/>
              </w:rPr>
            </w:pPr>
          </w:p>
        </w:tc>
        <w:tc>
          <w:tcPr>
            <w:tcW w:w="3349" w:type="dxa"/>
            <w:gridSpan w:val="2"/>
            <w:tcBorders>
              <w:tl2br w:val="nil"/>
              <w:tr2bl w:val="nil"/>
            </w:tcBorders>
            <w:vAlign w:val="center"/>
          </w:tcPr>
          <w:p w:rsidR="009A3CA3" w:rsidRDefault="009A3CA3" w:rsidP="00BD494C">
            <w:pPr>
              <w:widowControl/>
              <w:jc w:val="left"/>
              <w:textAlignment w:val="center"/>
              <w:rPr>
                <w:rFonts w:ascii="宋体" w:cs="宋体"/>
                <w:sz w:val="20"/>
              </w:rPr>
            </w:pPr>
            <w:r>
              <w:rPr>
                <w:rFonts w:ascii="宋体" w:eastAsia="宋体" w:hAnsi="宋体" w:cs="宋体" w:hint="eastAsia"/>
                <w:color w:val="000000"/>
                <w:kern w:val="0"/>
                <w:sz w:val="20"/>
                <w:szCs w:val="20"/>
              </w:rPr>
              <w:t xml:space="preserve">         其他资金</w:t>
            </w:r>
          </w:p>
        </w:tc>
        <w:tc>
          <w:tcPr>
            <w:tcW w:w="4228" w:type="dxa"/>
            <w:gridSpan w:val="2"/>
            <w:tcBorders>
              <w:tl2br w:val="nil"/>
              <w:tr2bl w:val="nil"/>
            </w:tcBorders>
            <w:vAlign w:val="center"/>
          </w:tcPr>
          <w:p w:rsidR="009A3CA3" w:rsidRDefault="009A3CA3" w:rsidP="00BD494C">
            <w:pPr>
              <w:jc w:val="right"/>
              <w:rPr>
                <w:rFonts w:ascii="宋体" w:cs="宋体"/>
                <w:sz w:val="20"/>
              </w:rPr>
            </w:pPr>
          </w:p>
        </w:tc>
      </w:tr>
      <w:tr w:rsidR="009A3CA3" w:rsidTr="00BD494C">
        <w:trPr>
          <w:trHeight w:val="1015"/>
        </w:trPr>
        <w:tc>
          <w:tcPr>
            <w:tcW w:w="438" w:type="dxa"/>
            <w:tcBorders>
              <w:tl2br w:val="nil"/>
              <w:tr2bl w:val="nil"/>
            </w:tcBorders>
            <w:vAlign w:val="center"/>
          </w:tcPr>
          <w:p w:rsidR="009A3CA3" w:rsidRDefault="009A3CA3" w:rsidP="00BD494C">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t>目标</w:t>
            </w:r>
          </w:p>
        </w:tc>
        <w:tc>
          <w:tcPr>
            <w:tcW w:w="8582" w:type="dxa"/>
            <w:gridSpan w:val="6"/>
            <w:tcBorders>
              <w:tl2br w:val="nil"/>
              <w:tr2bl w:val="nil"/>
            </w:tcBorders>
            <w:vAlign w:val="center"/>
          </w:tcPr>
          <w:p w:rsidR="009A3CA3" w:rsidRDefault="009A3CA3" w:rsidP="00BD494C">
            <w:pPr>
              <w:jc w:val="left"/>
              <w:rPr>
                <w:rFonts w:ascii="宋体" w:cs="宋体"/>
                <w:sz w:val="20"/>
              </w:rPr>
            </w:pPr>
          </w:p>
        </w:tc>
      </w:tr>
      <w:tr w:rsidR="009A3CA3" w:rsidTr="00BD494C">
        <w:trPr>
          <w:trHeight w:val="508"/>
        </w:trPr>
        <w:tc>
          <w:tcPr>
            <w:tcW w:w="438" w:type="dxa"/>
            <w:vMerge w:val="restart"/>
            <w:tcBorders>
              <w:tl2br w:val="nil"/>
              <w:tr2bl w:val="nil"/>
            </w:tcBorders>
            <w:vAlign w:val="center"/>
          </w:tcPr>
          <w:p w:rsidR="009A3CA3" w:rsidRDefault="009A3CA3" w:rsidP="00BD494C">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t>效</w:t>
            </w:r>
            <w:r>
              <w:rPr>
                <w:rFonts w:ascii="宋体" w:eastAsia="宋体" w:hAnsi="宋体" w:cs="宋体" w:hint="eastAsia"/>
                <w:color w:val="000000"/>
                <w:kern w:val="0"/>
                <w:sz w:val="20"/>
                <w:szCs w:val="20"/>
              </w:rPr>
              <w:br/>
              <w:t>指</w:t>
            </w:r>
            <w:r>
              <w:rPr>
                <w:rFonts w:ascii="宋体" w:eastAsia="宋体" w:hAnsi="宋体" w:cs="宋体" w:hint="eastAsia"/>
                <w:color w:val="000000"/>
                <w:kern w:val="0"/>
                <w:sz w:val="20"/>
                <w:szCs w:val="20"/>
              </w:rPr>
              <w:br/>
              <w:t>标</w:t>
            </w:r>
          </w:p>
        </w:tc>
        <w:tc>
          <w:tcPr>
            <w:tcW w:w="723" w:type="dxa"/>
            <w:tcBorders>
              <w:tl2br w:val="nil"/>
              <w:tr2bl w:val="nil"/>
            </w:tcBorders>
            <w:vAlign w:val="center"/>
          </w:tcPr>
          <w:p w:rsidR="009A3CA3" w:rsidRDefault="009A3CA3" w:rsidP="00BD494C">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t>指标</w:t>
            </w:r>
          </w:p>
        </w:tc>
        <w:tc>
          <w:tcPr>
            <w:tcW w:w="759" w:type="dxa"/>
            <w:gridSpan w:val="2"/>
            <w:tcBorders>
              <w:tl2br w:val="nil"/>
              <w:tr2bl w:val="nil"/>
            </w:tcBorders>
            <w:vAlign w:val="center"/>
          </w:tcPr>
          <w:p w:rsidR="009A3CA3" w:rsidRDefault="009A3CA3" w:rsidP="00BD494C">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872" w:type="dxa"/>
            <w:tcBorders>
              <w:tl2br w:val="nil"/>
              <w:tr2bl w:val="nil"/>
            </w:tcBorders>
            <w:vAlign w:val="center"/>
          </w:tcPr>
          <w:p w:rsidR="009A3CA3" w:rsidRDefault="009A3CA3" w:rsidP="00BD494C">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4228" w:type="dxa"/>
            <w:gridSpan w:val="2"/>
            <w:tcBorders>
              <w:tl2br w:val="nil"/>
              <w:tr2bl w:val="nil"/>
            </w:tcBorders>
            <w:vAlign w:val="center"/>
          </w:tcPr>
          <w:p w:rsidR="009A3CA3" w:rsidRDefault="009A3CA3" w:rsidP="00BD494C">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val="restart"/>
            <w:tcBorders>
              <w:tl2br w:val="nil"/>
              <w:tr2bl w:val="nil"/>
            </w:tcBorders>
            <w:vAlign w:val="center"/>
          </w:tcPr>
          <w:p w:rsidR="009A3CA3" w:rsidRDefault="009A3CA3" w:rsidP="00BD494C">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759" w:type="dxa"/>
            <w:gridSpan w:val="2"/>
            <w:vMerge w:val="restart"/>
            <w:tcBorders>
              <w:tl2br w:val="nil"/>
              <w:tr2bl w:val="nil"/>
            </w:tcBorders>
            <w:vAlign w:val="center"/>
          </w:tcPr>
          <w:p w:rsidR="009A3CA3" w:rsidRDefault="009A3CA3" w:rsidP="00BD494C">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数量指标</w:t>
            </w:r>
          </w:p>
        </w:tc>
        <w:tc>
          <w:tcPr>
            <w:tcW w:w="2872" w:type="dxa"/>
            <w:tcBorders>
              <w:tl2br w:val="nil"/>
              <w:tr2bl w:val="nil"/>
            </w:tcBorders>
            <w:vAlign w:val="center"/>
          </w:tcPr>
          <w:p w:rsidR="009A3CA3" w:rsidRDefault="009A3CA3" w:rsidP="00BD494C">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tcBorders>
              <w:tl2br w:val="nil"/>
              <w:tr2bl w:val="nil"/>
            </w:tcBorders>
            <w:vAlign w:val="center"/>
          </w:tcPr>
          <w:p w:rsidR="009A3CA3" w:rsidRDefault="009A3CA3" w:rsidP="00BD494C">
            <w:pPr>
              <w:jc w:val="center"/>
              <w:rPr>
                <w:rFonts w:ascii="宋体" w:cs="宋体"/>
                <w:sz w:val="20"/>
              </w:rPr>
            </w:pPr>
          </w:p>
        </w:tc>
        <w:tc>
          <w:tcPr>
            <w:tcW w:w="759" w:type="dxa"/>
            <w:gridSpan w:val="2"/>
            <w:vMerge/>
            <w:tcBorders>
              <w:tl2br w:val="nil"/>
              <w:tr2bl w:val="nil"/>
            </w:tcBorders>
            <w:vAlign w:val="center"/>
          </w:tcPr>
          <w:p w:rsidR="009A3CA3" w:rsidRDefault="009A3CA3" w:rsidP="00BD494C">
            <w:pPr>
              <w:jc w:val="center"/>
              <w:rPr>
                <w:rFonts w:ascii="宋体" w:cs="宋体"/>
                <w:sz w:val="20"/>
              </w:rPr>
            </w:pPr>
          </w:p>
        </w:tc>
        <w:tc>
          <w:tcPr>
            <w:tcW w:w="2872" w:type="dxa"/>
            <w:tcBorders>
              <w:tl2br w:val="nil"/>
              <w:tr2bl w:val="nil"/>
            </w:tcBorders>
            <w:vAlign w:val="center"/>
          </w:tcPr>
          <w:p w:rsidR="009A3CA3" w:rsidRDefault="009A3CA3" w:rsidP="00BD494C">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tcBorders>
              <w:tl2br w:val="nil"/>
              <w:tr2bl w:val="nil"/>
            </w:tcBorders>
            <w:vAlign w:val="center"/>
          </w:tcPr>
          <w:p w:rsidR="009A3CA3" w:rsidRDefault="009A3CA3" w:rsidP="00BD494C">
            <w:pPr>
              <w:jc w:val="center"/>
              <w:rPr>
                <w:rFonts w:ascii="宋体" w:cs="宋体"/>
                <w:sz w:val="20"/>
              </w:rPr>
            </w:pPr>
          </w:p>
        </w:tc>
        <w:tc>
          <w:tcPr>
            <w:tcW w:w="759" w:type="dxa"/>
            <w:gridSpan w:val="2"/>
            <w:vMerge w:val="restart"/>
            <w:tcBorders>
              <w:tl2br w:val="nil"/>
              <w:tr2bl w:val="nil"/>
            </w:tcBorders>
            <w:vAlign w:val="center"/>
          </w:tcPr>
          <w:p w:rsidR="009A3CA3" w:rsidRDefault="009A3CA3" w:rsidP="00BD494C">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质量指标</w:t>
            </w:r>
          </w:p>
        </w:tc>
        <w:tc>
          <w:tcPr>
            <w:tcW w:w="2872" w:type="dxa"/>
            <w:tcBorders>
              <w:tl2br w:val="nil"/>
              <w:tr2bl w:val="nil"/>
            </w:tcBorders>
            <w:vAlign w:val="center"/>
          </w:tcPr>
          <w:p w:rsidR="009A3CA3" w:rsidRDefault="009A3CA3" w:rsidP="00BD494C">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tcBorders>
              <w:tl2br w:val="nil"/>
              <w:tr2bl w:val="nil"/>
            </w:tcBorders>
            <w:vAlign w:val="center"/>
          </w:tcPr>
          <w:p w:rsidR="009A3CA3" w:rsidRDefault="009A3CA3" w:rsidP="00BD494C">
            <w:pPr>
              <w:jc w:val="center"/>
              <w:rPr>
                <w:rFonts w:ascii="宋体" w:cs="宋体"/>
                <w:sz w:val="20"/>
              </w:rPr>
            </w:pPr>
          </w:p>
        </w:tc>
        <w:tc>
          <w:tcPr>
            <w:tcW w:w="759" w:type="dxa"/>
            <w:gridSpan w:val="2"/>
            <w:vMerge/>
            <w:tcBorders>
              <w:tl2br w:val="nil"/>
              <w:tr2bl w:val="nil"/>
            </w:tcBorders>
            <w:vAlign w:val="center"/>
          </w:tcPr>
          <w:p w:rsidR="009A3CA3" w:rsidRDefault="009A3CA3" w:rsidP="00BD494C">
            <w:pPr>
              <w:jc w:val="center"/>
              <w:rPr>
                <w:rFonts w:ascii="宋体" w:cs="宋体"/>
                <w:sz w:val="20"/>
              </w:rPr>
            </w:pPr>
          </w:p>
        </w:tc>
        <w:tc>
          <w:tcPr>
            <w:tcW w:w="2872" w:type="dxa"/>
            <w:tcBorders>
              <w:tl2br w:val="nil"/>
              <w:tr2bl w:val="nil"/>
            </w:tcBorders>
            <w:vAlign w:val="center"/>
          </w:tcPr>
          <w:p w:rsidR="009A3CA3" w:rsidRDefault="009A3CA3" w:rsidP="00BD494C">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tcBorders>
              <w:tl2br w:val="nil"/>
              <w:tr2bl w:val="nil"/>
            </w:tcBorders>
            <w:vAlign w:val="center"/>
          </w:tcPr>
          <w:p w:rsidR="009A3CA3" w:rsidRDefault="009A3CA3" w:rsidP="00BD494C">
            <w:pPr>
              <w:jc w:val="center"/>
              <w:rPr>
                <w:rFonts w:ascii="宋体" w:cs="宋体"/>
                <w:sz w:val="20"/>
              </w:rPr>
            </w:pPr>
          </w:p>
        </w:tc>
        <w:tc>
          <w:tcPr>
            <w:tcW w:w="759" w:type="dxa"/>
            <w:gridSpan w:val="2"/>
            <w:vMerge w:val="restart"/>
            <w:tcBorders>
              <w:tl2br w:val="nil"/>
              <w:tr2bl w:val="nil"/>
            </w:tcBorders>
            <w:vAlign w:val="center"/>
          </w:tcPr>
          <w:p w:rsidR="009A3CA3" w:rsidRDefault="009A3CA3" w:rsidP="00BD494C">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时效指标</w:t>
            </w:r>
          </w:p>
        </w:tc>
        <w:tc>
          <w:tcPr>
            <w:tcW w:w="2872" w:type="dxa"/>
            <w:tcBorders>
              <w:tl2br w:val="nil"/>
              <w:tr2bl w:val="nil"/>
            </w:tcBorders>
            <w:vAlign w:val="center"/>
          </w:tcPr>
          <w:p w:rsidR="009A3CA3" w:rsidRDefault="009A3CA3" w:rsidP="00BD494C">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tcBorders>
              <w:tl2br w:val="nil"/>
              <w:tr2bl w:val="nil"/>
            </w:tcBorders>
            <w:vAlign w:val="center"/>
          </w:tcPr>
          <w:p w:rsidR="009A3CA3" w:rsidRDefault="009A3CA3" w:rsidP="00BD494C">
            <w:pPr>
              <w:jc w:val="center"/>
              <w:rPr>
                <w:rFonts w:ascii="宋体" w:cs="宋体"/>
                <w:sz w:val="20"/>
              </w:rPr>
            </w:pPr>
          </w:p>
        </w:tc>
        <w:tc>
          <w:tcPr>
            <w:tcW w:w="759" w:type="dxa"/>
            <w:gridSpan w:val="2"/>
            <w:vMerge/>
            <w:tcBorders>
              <w:tl2br w:val="nil"/>
              <w:tr2bl w:val="nil"/>
            </w:tcBorders>
            <w:vAlign w:val="center"/>
          </w:tcPr>
          <w:p w:rsidR="009A3CA3" w:rsidRDefault="009A3CA3" w:rsidP="00BD494C">
            <w:pPr>
              <w:jc w:val="center"/>
              <w:rPr>
                <w:rFonts w:ascii="宋体" w:cs="宋体"/>
                <w:sz w:val="20"/>
              </w:rPr>
            </w:pPr>
          </w:p>
        </w:tc>
        <w:tc>
          <w:tcPr>
            <w:tcW w:w="2872" w:type="dxa"/>
            <w:tcBorders>
              <w:tl2br w:val="nil"/>
              <w:tr2bl w:val="nil"/>
            </w:tcBorders>
            <w:vAlign w:val="center"/>
          </w:tcPr>
          <w:p w:rsidR="009A3CA3" w:rsidRDefault="009A3CA3" w:rsidP="00BD494C">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tcBorders>
              <w:tl2br w:val="nil"/>
              <w:tr2bl w:val="nil"/>
            </w:tcBorders>
            <w:vAlign w:val="center"/>
          </w:tcPr>
          <w:p w:rsidR="009A3CA3" w:rsidRDefault="009A3CA3" w:rsidP="00BD494C">
            <w:pPr>
              <w:jc w:val="center"/>
              <w:rPr>
                <w:rFonts w:ascii="宋体" w:cs="宋体"/>
                <w:sz w:val="20"/>
              </w:rPr>
            </w:pPr>
          </w:p>
        </w:tc>
        <w:tc>
          <w:tcPr>
            <w:tcW w:w="759" w:type="dxa"/>
            <w:gridSpan w:val="2"/>
            <w:vMerge w:val="restart"/>
            <w:tcBorders>
              <w:tl2br w:val="nil"/>
              <w:tr2bl w:val="nil"/>
            </w:tcBorders>
            <w:vAlign w:val="center"/>
          </w:tcPr>
          <w:p w:rsidR="009A3CA3" w:rsidRDefault="009A3CA3" w:rsidP="00BD494C">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成本指标</w:t>
            </w:r>
          </w:p>
        </w:tc>
        <w:tc>
          <w:tcPr>
            <w:tcW w:w="2872" w:type="dxa"/>
            <w:tcBorders>
              <w:tl2br w:val="nil"/>
              <w:tr2bl w:val="nil"/>
            </w:tcBorders>
            <w:vAlign w:val="center"/>
          </w:tcPr>
          <w:p w:rsidR="009A3CA3" w:rsidRDefault="009A3CA3" w:rsidP="00BD494C">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tcBorders>
              <w:tl2br w:val="nil"/>
              <w:tr2bl w:val="nil"/>
            </w:tcBorders>
            <w:vAlign w:val="center"/>
          </w:tcPr>
          <w:p w:rsidR="009A3CA3" w:rsidRDefault="009A3CA3" w:rsidP="00BD494C">
            <w:pPr>
              <w:jc w:val="center"/>
              <w:rPr>
                <w:rFonts w:ascii="宋体" w:cs="宋体"/>
                <w:sz w:val="20"/>
              </w:rPr>
            </w:pPr>
          </w:p>
        </w:tc>
        <w:tc>
          <w:tcPr>
            <w:tcW w:w="759" w:type="dxa"/>
            <w:gridSpan w:val="2"/>
            <w:vMerge/>
            <w:tcBorders>
              <w:tl2br w:val="nil"/>
              <w:tr2bl w:val="nil"/>
            </w:tcBorders>
            <w:vAlign w:val="center"/>
          </w:tcPr>
          <w:p w:rsidR="009A3CA3" w:rsidRDefault="009A3CA3" w:rsidP="00BD494C">
            <w:pPr>
              <w:jc w:val="center"/>
              <w:rPr>
                <w:rFonts w:ascii="宋体" w:cs="宋体"/>
                <w:sz w:val="20"/>
              </w:rPr>
            </w:pPr>
          </w:p>
        </w:tc>
        <w:tc>
          <w:tcPr>
            <w:tcW w:w="2872" w:type="dxa"/>
            <w:tcBorders>
              <w:tl2br w:val="nil"/>
              <w:tr2bl w:val="nil"/>
            </w:tcBorders>
            <w:vAlign w:val="center"/>
          </w:tcPr>
          <w:p w:rsidR="009A3CA3" w:rsidRDefault="009A3CA3" w:rsidP="00BD494C">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tcBorders>
              <w:tl2br w:val="nil"/>
              <w:tr2bl w:val="nil"/>
            </w:tcBorders>
            <w:vAlign w:val="center"/>
          </w:tcPr>
          <w:p w:rsidR="009A3CA3" w:rsidRDefault="009A3CA3" w:rsidP="00BD494C">
            <w:pPr>
              <w:jc w:val="center"/>
              <w:rPr>
                <w:rFonts w:ascii="宋体" w:cs="宋体"/>
                <w:sz w:val="20"/>
              </w:rPr>
            </w:pPr>
          </w:p>
        </w:tc>
        <w:tc>
          <w:tcPr>
            <w:tcW w:w="759" w:type="dxa"/>
            <w:gridSpan w:val="2"/>
            <w:tcBorders>
              <w:tl2br w:val="nil"/>
              <w:tr2bl w:val="nil"/>
            </w:tcBorders>
            <w:vAlign w:val="center"/>
          </w:tcPr>
          <w:p w:rsidR="009A3CA3" w:rsidRDefault="009A3CA3" w:rsidP="00BD494C">
            <w:pPr>
              <w:widowControl/>
              <w:jc w:val="center"/>
              <w:textAlignment w:val="center"/>
              <w:rPr>
                <w:rFonts w:ascii="宋体" w:cs="宋体"/>
                <w:sz w:val="20"/>
              </w:rPr>
            </w:pPr>
            <w:r>
              <w:rPr>
                <w:rFonts w:ascii="宋体" w:eastAsia="宋体" w:hAnsi="宋体" w:cs="宋体" w:hint="eastAsia"/>
                <w:color w:val="000000"/>
                <w:kern w:val="0"/>
                <w:sz w:val="20"/>
                <w:szCs w:val="20"/>
              </w:rPr>
              <w:t>…</w:t>
            </w:r>
          </w:p>
        </w:tc>
        <w:tc>
          <w:tcPr>
            <w:tcW w:w="2872" w:type="dxa"/>
            <w:tcBorders>
              <w:tl2br w:val="nil"/>
              <w:tr2bl w:val="nil"/>
            </w:tcBorders>
            <w:vAlign w:val="center"/>
          </w:tcPr>
          <w:p w:rsidR="009A3CA3" w:rsidRDefault="009A3CA3" w:rsidP="00BD494C">
            <w:pPr>
              <w:jc w:val="left"/>
              <w:rPr>
                <w:rFonts w:ascii="宋体" w:cs="宋体"/>
                <w:sz w:val="20"/>
              </w:rPr>
            </w:pP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val="restart"/>
            <w:tcBorders>
              <w:tl2br w:val="nil"/>
              <w:tr2bl w:val="nil"/>
            </w:tcBorders>
            <w:vAlign w:val="center"/>
          </w:tcPr>
          <w:p w:rsidR="009A3CA3" w:rsidRDefault="009A3CA3" w:rsidP="00BD494C">
            <w:pPr>
              <w:widowControl/>
              <w:jc w:val="center"/>
              <w:textAlignment w:val="center"/>
              <w:rPr>
                <w:rFonts w:ascii="宋体" w:cs="宋体"/>
                <w:sz w:val="20"/>
              </w:rPr>
            </w:pPr>
            <w:r>
              <w:rPr>
                <w:rFonts w:ascii="宋体" w:eastAsia="宋体" w:hAnsi="宋体" w:cs="宋体" w:hint="eastAsia"/>
                <w:color w:val="000000"/>
                <w:kern w:val="0"/>
                <w:sz w:val="20"/>
                <w:szCs w:val="20"/>
              </w:rPr>
              <w:t>效益指标</w:t>
            </w:r>
          </w:p>
        </w:tc>
        <w:tc>
          <w:tcPr>
            <w:tcW w:w="759" w:type="dxa"/>
            <w:gridSpan w:val="2"/>
            <w:vMerge w:val="restart"/>
            <w:tcBorders>
              <w:tl2br w:val="nil"/>
              <w:tr2bl w:val="nil"/>
            </w:tcBorders>
            <w:vAlign w:val="center"/>
          </w:tcPr>
          <w:p w:rsidR="009A3CA3" w:rsidRDefault="009A3CA3" w:rsidP="00BD494C">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经济效益指标</w:t>
            </w:r>
          </w:p>
        </w:tc>
        <w:tc>
          <w:tcPr>
            <w:tcW w:w="2872" w:type="dxa"/>
            <w:tcBorders>
              <w:tl2br w:val="nil"/>
              <w:tr2bl w:val="nil"/>
            </w:tcBorders>
            <w:vAlign w:val="center"/>
          </w:tcPr>
          <w:p w:rsidR="009A3CA3" w:rsidRDefault="009A3CA3" w:rsidP="00BD494C">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tcBorders>
              <w:tl2br w:val="nil"/>
              <w:tr2bl w:val="nil"/>
            </w:tcBorders>
            <w:vAlign w:val="center"/>
          </w:tcPr>
          <w:p w:rsidR="009A3CA3" w:rsidRDefault="009A3CA3" w:rsidP="00BD494C">
            <w:pPr>
              <w:jc w:val="center"/>
              <w:rPr>
                <w:rFonts w:ascii="宋体" w:cs="宋体"/>
                <w:sz w:val="20"/>
              </w:rPr>
            </w:pPr>
          </w:p>
        </w:tc>
        <w:tc>
          <w:tcPr>
            <w:tcW w:w="759" w:type="dxa"/>
            <w:gridSpan w:val="2"/>
            <w:vMerge/>
            <w:tcBorders>
              <w:tl2br w:val="nil"/>
              <w:tr2bl w:val="nil"/>
            </w:tcBorders>
            <w:vAlign w:val="center"/>
          </w:tcPr>
          <w:p w:rsidR="009A3CA3" w:rsidRDefault="009A3CA3" w:rsidP="00BD494C">
            <w:pPr>
              <w:jc w:val="center"/>
              <w:rPr>
                <w:rFonts w:ascii="宋体" w:cs="宋体"/>
                <w:sz w:val="20"/>
              </w:rPr>
            </w:pPr>
          </w:p>
        </w:tc>
        <w:tc>
          <w:tcPr>
            <w:tcW w:w="2872" w:type="dxa"/>
            <w:tcBorders>
              <w:tl2br w:val="nil"/>
              <w:tr2bl w:val="nil"/>
            </w:tcBorders>
            <w:vAlign w:val="center"/>
          </w:tcPr>
          <w:p w:rsidR="009A3CA3" w:rsidRDefault="009A3CA3" w:rsidP="00BD494C">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tcBorders>
              <w:tl2br w:val="nil"/>
              <w:tr2bl w:val="nil"/>
            </w:tcBorders>
            <w:vAlign w:val="center"/>
          </w:tcPr>
          <w:p w:rsidR="009A3CA3" w:rsidRDefault="009A3CA3" w:rsidP="00BD494C">
            <w:pPr>
              <w:jc w:val="center"/>
              <w:rPr>
                <w:rFonts w:ascii="宋体" w:cs="宋体"/>
                <w:sz w:val="20"/>
              </w:rPr>
            </w:pPr>
          </w:p>
        </w:tc>
        <w:tc>
          <w:tcPr>
            <w:tcW w:w="759" w:type="dxa"/>
            <w:gridSpan w:val="2"/>
            <w:vMerge w:val="restart"/>
            <w:tcBorders>
              <w:tl2br w:val="nil"/>
              <w:tr2bl w:val="nil"/>
            </w:tcBorders>
            <w:vAlign w:val="center"/>
          </w:tcPr>
          <w:p w:rsidR="009A3CA3" w:rsidRDefault="009A3CA3" w:rsidP="00BD494C">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社会效益指标</w:t>
            </w:r>
          </w:p>
        </w:tc>
        <w:tc>
          <w:tcPr>
            <w:tcW w:w="2872" w:type="dxa"/>
            <w:tcBorders>
              <w:tl2br w:val="nil"/>
              <w:tr2bl w:val="nil"/>
            </w:tcBorders>
            <w:vAlign w:val="center"/>
          </w:tcPr>
          <w:p w:rsidR="009A3CA3" w:rsidRDefault="009A3CA3" w:rsidP="00BD494C">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tcBorders>
              <w:tl2br w:val="nil"/>
              <w:tr2bl w:val="nil"/>
            </w:tcBorders>
            <w:vAlign w:val="center"/>
          </w:tcPr>
          <w:p w:rsidR="009A3CA3" w:rsidRDefault="009A3CA3" w:rsidP="00BD494C">
            <w:pPr>
              <w:jc w:val="center"/>
              <w:rPr>
                <w:rFonts w:ascii="宋体" w:cs="宋体"/>
                <w:sz w:val="20"/>
              </w:rPr>
            </w:pPr>
          </w:p>
        </w:tc>
        <w:tc>
          <w:tcPr>
            <w:tcW w:w="759" w:type="dxa"/>
            <w:gridSpan w:val="2"/>
            <w:vMerge/>
            <w:tcBorders>
              <w:tl2br w:val="nil"/>
              <w:tr2bl w:val="nil"/>
            </w:tcBorders>
            <w:vAlign w:val="center"/>
          </w:tcPr>
          <w:p w:rsidR="009A3CA3" w:rsidRDefault="009A3CA3" w:rsidP="00BD494C">
            <w:pPr>
              <w:jc w:val="center"/>
              <w:rPr>
                <w:rFonts w:ascii="宋体" w:cs="宋体"/>
                <w:sz w:val="20"/>
              </w:rPr>
            </w:pPr>
          </w:p>
        </w:tc>
        <w:tc>
          <w:tcPr>
            <w:tcW w:w="2872" w:type="dxa"/>
            <w:tcBorders>
              <w:tl2br w:val="nil"/>
              <w:tr2bl w:val="nil"/>
            </w:tcBorders>
            <w:vAlign w:val="center"/>
          </w:tcPr>
          <w:p w:rsidR="009A3CA3" w:rsidRDefault="009A3CA3" w:rsidP="00BD494C">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tcBorders>
              <w:tl2br w:val="nil"/>
              <w:tr2bl w:val="nil"/>
            </w:tcBorders>
            <w:vAlign w:val="center"/>
          </w:tcPr>
          <w:p w:rsidR="009A3CA3" w:rsidRDefault="009A3CA3" w:rsidP="00BD494C">
            <w:pPr>
              <w:jc w:val="center"/>
              <w:rPr>
                <w:rFonts w:ascii="宋体" w:cs="宋体"/>
                <w:sz w:val="20"/>
              </w:rPr>
            </w:pPr>
          </w:p>
        </w:tc>
        <w:tc>
          <w:tcPr>
            <w:tcW w:w="759" w:type="dxa"/>
            <w:gridSpan w:val="2"/>
            <w:vMerge w:val="restart"/>
            <w:tcBorders>
              <w:tl2br w:val="nil"/>
              <w:tr2bl w:val="nil"/>
            </w:tcBorders>
            <w:vAlign w:val="center"/>
          </w:tcPr>
          <w:p w:rsidR="009A3CA3" w:rsidRDefault="009A3CA3" w:rsidP="00BD494C">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生态效益指标</w:t>
            </w:r>
          </w:p>
        </w:tc>
        <w:tc>
          <w:tcPr>
            <w:tcW w:w="2872" w:type="dxa"/>
            <w:tcBorders>
              <w:tl2br w:val="nil"/>
              <w:tr2bl w:val="nil"/>
            </w:tcBorders>
            <w:vAlign w:val="center"/>
          </w:tcPr>
          <w:p w:rsidR="009A3CA3" w:rsidRDefault="009A3CA3" w:rsidP="00BD494C">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tcBorders>
              <w:tl2br w:val="nil"/>
              <w:tr2bl w:val="nil"/>
            </w:tcBorders>
            <w:vAlign w:val="center"/>
          </w:tcPr>
          <w:p w:rsidR="009A3CA3" w:rsidRDefault="009A3CA3" w:rsidP="00BD494C">
            <w:pPr>
              <w:jc w:val="center"/>
              <w:rPr>
                <w:rFonts w:ascii="宋体" w:cs="宋体"/>
                <w:sz w:val="20"/>
              </w:rPr>
            </w:pPr>
          </w:p>
        </w:tc>
        <w:tc>
          <w:tcPr>
            <w:tcW w:w="759" w:type="dxa"/>
            <w:gridSpan w:val="2"/>
            <w:vMerge/>
            <w:tcBorders>
              <w:tl2br w:val="nil"/>
              <w:tr2bl w:val="nil"/>
            </w:tcBorders>
            <w:vAlign w:val="center"/>
          </w:tcPr>
          <w:p w:rsidR="009A3CA3" w:rsidRDefault="009A3CA3" w:rsidP="00BD494C">
            <w:pPr>
              <w:jc w:val="center"/>
              <w:rPr>
                <w:rFonts w:ascii="宋体" w:cs="宋体"/>
                <w:sz w:val="20"/>
              </w:rPr>
            </w:pPr>
          </w:p>
        </w:tc>
        <w:tc>
          <w:tcPr>
            <w:tcW w:w="2872" w:type="dxa"/>
            <w:tcBorders>
              <w:tl2br w:val="nil"/>
              <w:tr2bl w:val="nil"/>
            </w:tcBorders>
            <w:vAlign w:val="center"/>
          </w:tcPr>
          <w:p w:rsidR="009A3CA3" w:rsidRDefault="009A3CA3" w:rsidP="00BD494C">
            <w:pPr>
              <w:widowControl/>
              <w:jc w:val="left"/>
              <w:textAlignment w:val="center"/>
              <w:rPr>
                <w:rFonts w:ascii="汉仪中秀体简" w:eastAsia="汉仪中秀体简" w:hAnsi="汉仪中秀体简" w:cs="汉仪中秀体简"/>
                <w:color w:val="000000"/>
                <w:kern w:val="0"/>
                <w:sz w:val="20"/>
                <w:szCs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rsidR="009A3CA3" w:rsidRDefault="009A3CA3" w:rsidP="00BD494C">
            <w:pPr>
              <w:widowControl/>
              <w:jc w:val="left"/>
              <w:textAlignment w:val="center"/>
              <w:rPr>
                <w:rFonts w:ascii="汉仪中秀体简" w:eastAsia="汉仪中秀体简" w:hAnsi="汉仪中秀体简" w:cs="汉仪中秀体简"/>
                <w:color w:val="000000"/>
                <w:kern w:val="0"/>
                <w:sz w:val="20"/>
                <w:szCs w:val="20"/>
              </w:rPr>
            </w:pPr>
          </w:p>
        </w:tc>
      </w:tr>
      <w:tr w:rsidR="009A3CA3" w:rsidTr="00BD494C">
        <w:trPr>
          <w:trHeight w:val="420"/>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tcBorders>
              <w:tl2br w:val="nil"/>
              <w:tr2bl w:val="nil"/>
            </w:tcBorders>
            <w:vAlign w:val="center"/>
          </w:tcPr>
          <w:p w:rsidR="009A3CA3" w:rsidRDefault="009A3CA3" w:rsidP="00BD494C">
            <w:pPr>
              <w:jc w:val="center"/>
              <w:rPr>
                <w:rFonts w:ascii="宋体" w:cs="宋体"/>
                <w:sz w:val="20"/>
              </w:rPr>
            </w:pPr>
          </w:p>
        </w:tc>
        <w:tc>
          <w:tcPr>
            <w:tcW w:w="759" w:type="dxa"/>
            <w:gridSpan w:val="2"/>
            <w:vMerge w:val="restart"/>
            <w:tcBorders>
              <w:tl2br w:val="nil"/>
              <w:tr2bl w:val="nil"/>
            </w:tcBorders>
            <w:vAlign w:val="center"/>
          </w:tcPr>
          <w:p w:rsidR="009A3CA3" w:rsidRDefault="009A3CA3" w:rsidP="00BD494C">
            <w:pPr>
              <w:widowControl/>
              <w:spacing w:line="200" w:lineRule="exact"/>
              <w:jc w:val="center"/>
              <w:rPr>
                <w:rFonts w:ascii="宋体" w:eastAsia="宋体" w:hAnsi="宋体" w:cs="宋体"/>
                <w:sz w:val="20"/>
              </w:rPr>
            </w:pPr>
            <w:r>
              <w:rPr>
                <w:rFonts w:ascii="宋体" w:eastAsia="宋体" w:hAnsi="宋体" w:cs="宋体" w:hint="eastAsia"/>
                <w:sz w:val="20"/>
              </w:rPr>
              <w:t>可持续影响指标</w:t>
            </w:r>
          </w:p>
        </w:tc>
        <w:tc>
          <w:tcPr>
            <w:tcW w:w="2872" w:type="dxa"/>
            <w:tcBorders>
              <w:tl2br w:val="nil"/>
              <w:tr2bl w:val="nil"/>
            </w:tcBorders>
            <w:vAlign w:val="center"/>
          </w:tcPr>
          <w:p w:rsidR="009A3CA3" w:rsidRDefault="009A3CA3" w:rsidP="00BD494C">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444"/>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tcBorders>
              <w:tl2br w:val="nil"/>
              <w:tr2bl w:val="nil"/>
            </w:tcBorders>
            <w:vAlign w:val="center"/>
          </w:tcPr>
          <w:p w:rsidR="009A3CA3" w:rsidRDefault="009A3CA3" w:rsidP="00BD494C">
            <w:pPr>
              <w:jc w:val="center"/>
              <w:rPr>
                <w:rFonts w:ascii="宋体" w:cs="宋体"/>
                <w:sz w:val="20"/>
              </w:rPr>
            </w:pPr>
          </w:p>
        </w:tc>
        <w:tc>
          <w:tcPr>
            <w:tcW w:w="759" w:type="dxa"/>
            <w:gridSpan w:val="2"/>
            <w:vMerge/>
            <w:tcBorders>
              <w:tl2br w:val="nil"/>
              <w:tr2bl w:val="nil"/>
            </w:tcBorders>
            <w:vAlign w:val="center"/>
          </w:tcPr>
          <w:p w:rsidR="009A3CA3" w:rsidRDefault="009A3CA3" w:rsidP="00BD494C">
            <w:pPr>
              <w:jc w:val="center"/>
              <w:rPr>
                <w:rFonts w:ascii="宋体" w:eastAsia="宋体" w:hAnsi="宋体" w:cs="宋体"/>
                <w:sz w:val="20"/>
              </w:rPr>
            </w:pPr>
          </w:p>
        </w:tc>
        <w:tc>
          <w:tcPr>
            <w:tcW w:w="2872" w:type="dxa"/>
            <w:tcBorders>
              <w:tl2br w:val="nil"/>
              <w:tr2bl w:val="nil"/>
            </w:tcBorders>
            <w:vAlign w:val="center"/>
          </w:tcPr>
          <w:p w:rsidR="009A3CA3" w:rsidRDefault="009A3CA3" w:rsidP="00BD494C">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tcBorders>
              <w:tl2br w:val="nil"/>
              <w:tr2bl w:val="nil"/>
            </w:tcBorders>
            <w:vAlign w:val="center"/>
          </w:tcPr>
          <w:p w:rsidR="009A3CA3" w:rsidRDefault="009A3CA3" w:rsidP="00BD494C">
            <w:pPr>
              <w:jc w:val="center"/>
              <w:rPr>
                <w:rFonts w:ascii="宋体" w:cs="宋体"/>
                <w:sz w:val="20"/>
              </w:rPr>
            </w:pPr>
          </w:p>
        </w:tc>
        <w:tc>
          <w:tcPr>
            <w:tcW w:w="759" w:type="dxa"/>
            <w:gridSpan w:val="2"/>
            <w:tcBorders>
              <w:tl2br w:val="nil"/>
              <w:tr2bl w:val="nil"/>
            </w:tcBorders>
            <w:vAlign w:val="center"/>
          </w:tcPr>
          <w:p w:rsidR="009A3CA3" w:rsidRDefault="009A3CA3" w:rsidP="00BD494C">
            <w:pPr>
              <w:jc w:val="center"/>
              <w:rPr>
                <w:rFonts w:ascii="宋体" w:eastAsia="宋体" w:hAnsi="宋体" w:cs="宋体"/>
                <w:sz w:val="20"/>
              </w:rPr>
            </w:pPr>
            <w:r>
              <w:rPr>
                <w:rFonts w:ascii="宋体" w:eastAsia="宋体" w:hAnsi="宋体" w:cs="宋体" w:hint="eastAsia"/>
                <w:color w:val="000000"/>
                <w:kern w:val="0"/>
                <w:sz w:val="20"/>
                <w:szCs w:val="20"/>
              </w:rPr>
              <w:t>…</w:t>
            </w:r>
          </w:p>
        </w:tc>
        <w:tc>
          <w:tcPr>
            <w:tcW w:w="2872" w:type="dxa"/>
            <w:tcBorders>
              <w:tl2br w:val="nil"/>
              <w:tr2bl w:val="nil"/>
            </w:tcBorders>
            <w:vAlign w:val="center"/>
          </w:tcPr>
          <w:p w:rsidR="009A3CA3" w:rsidRDefault="009A3CA3" w:rsidP="00BD494C">
            <w:pPr>
              <w:widowControl/>
              <w:jc w:val="left"/>
              <w:textAlignment w:val="center"/>
              <w:rPr>
                <w:rFonts w:ascii="宋体" w:eastAsia="宋体" w:hAnsi="宋体" w:cs="宋体"/>
                <w:color w:val="000000"/>
                <w:kern w:val="0"/>
                <w:sz w:val="20"/>
                <w:szCs w:val="20"/>
              </w:rPr>
            </w:pP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val="restart"/>
            <w:tcBorders>
              <w:tl2br w:val="nil"/>
              <w:tr2bl w:val="nil"/>
            </w:tcBorders>
            <w:vAlign w:val="center"/>
          </w:tcPr>
          <w:p w:rsidR="009A3CA3" w:rsidRDefault="009A3CA3" w:rsidP="00BD494C">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759" w:type="dxa"/>
            <w:gridSpan w:val="2"/>
            <w:vMerge w:val="restart"/>
            <w:tcBorders>
              <w:tl2br w:val="nil"/>
              <w:tr2bl w:val="nil"/>
            </w:tcBorders>
            <w:vAlign w:val="center"/>
          </w:tcPr>
          <w:p w:rsidR="009A3CA3" w:rsidRDefault="009A3CA3" w:rsidP="00BD494C">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2872" w:type="dxa"/>
            <w:tcBorders>
              <w:tl2br w:val="nil"/>
              <w:tr2bl w:val="nil"/>
            </w:tcBorders>
            <w:vAlign w:val="center"/>
          </w:tcPr>
          <w:p w:rsidR="009A3CA3" w:rsidRDefault="009A3CA3" w:rsidP="00BD494C">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r w:rsidR="009A3CA3" w:rsidTr="00BD494C">
        <w:trPr>
          <w:trHeight w:val="363"/>
        </w:trPr>
        <w:tc>
          <w:tcPr>
            <w:tcW w:w="438" w:type="dxa"/>
            <w:vMerge/>
            <w:tcBorders>
              <w:tl2br w:val="nil"/>
              <w:tr2bl w:val="nil"/>
            </w:tcBorders>
            <w:vAlign w:val="center"/>
          </w:tcPr>
          <w:p w:rsidR="009A3CA3" w:rsidRDefault="009A3CA3" w:rsidP="00BD494C">
            <w:pPr>
              <w:jc w:val="center"/>
              <w:rPr>
                <w:rFonts w:ascii="宋体" w:cs="宋体"/>
                <w:sz w:val="20"/>
              </w:rPr>
            </w:pPr>
          </w:p>
        </w:tc>
        <w:tc>
          <w:tcPr>
            <w:tcW w:w="723" w:type="dxa"/>
            <w:vMerge/>
            <w:tcBorders>
              <w:tl2br w:val="nil"/>
              <w:tr2bl w:val="nil"/>
            </w:tcBorders>
            <w:vAlign w:val="center"/>
          </w:tcPr>
          <w:p w:rsidR="009A3CA3" w:rsidRDefault="009A3CA3" w:rsidP="00BD494C">
            <w:pPr>
              <w:jc w:val="center"/>
              <w:rPr>
                <w:rFonts w:ascii="宋体" w:eastAsia="宋体" w:hAnsi="宋体" w:cs="宋体"/>
                <w:sz w:val="20"/>
              </w:rPr>
            </w:pPr>
          </w:p>
        </w:tc>
        <w:tc>
          <w:tcPr>
            <w:tcW w:w="759" w:type="dxa"/>
            <w:gridSpan w:val="2"/>
            <w:vMerge/>
            <w:tcBorders>
              <w:tl2br w:val="nil"/>
              <w:tr2bl w:val="nil"/>
            </w:tcBorders>
            <w:vAlign w:val="center"/>
          </w:tcPr>
          <w:p w:rsidR="009A3CA3" w:rsidRDefault="009A3CA3" w:rsidP="00BD494C">
            <w:pPr>
              <w:jc w:val="center"/>
              <w:rPr>
                <w:rFonts w:ascii="宋体" w:eastAsia="宋体" w:hAnsi="宋体" w:cs="宋体"/>
                <w:sz w:val="20"/>
              </w:rPr>
            </w:pPr>
          </w:p>
        </w:tc>
        <w:tc>
          <w:tcPr>
            <w:tcW w:w="2872" w:type="dxa"/>
            <w:tcBorders>
              <w:tl2br w:val="nil"/>
              <w:tr2bl w:val="nil"/>
            </w:tcBorders>
            <w:vAlign w:val="center"/>
          </w:tcPr>
          <w:p w:rsidR="009A3CA3" w:rsidRDefault="009A3CA3" w:rsidP="00BD494C">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w:t>
            </w:r>
          </w:p>
        </w:tc>
        <w:tc>
          <w:tcPr>
            <w:tcW w:w="4228" w:type="dxa"/>
            <w:gridSpan w:val="2"/>
            <w:tcBorders>
              <w:tl2br w:val="nil"/>
              <w:tr2bl w:val="nil"/>
            </w:tcBorders>
            <w:vAlign w:val="center"/>
          </w:tcPr>
          <w:p w:rsidR="009A3CA3" w:rsidRDefault="009A3CA3" w:rsidP="00BD494C">
            <w:pPr>
              <w:jc w:val="center"/>
              <w:rPr>
                <w:rFonts w:ascii="宋体" w:cs="宋体"/>
                <w:sz w:val="20"/>
              </w:rPr>
            </w:pPr>
          </w:p>
        </w:tc>
      </w:tr>
    </w:tbl>
    <w:p w:rsidR="009A3CA3" w:rsidRDefault="009A3CA3" w:rsidP="009A3CA3">
      <w:pPr>
        <w:ind w:firstLineChars="200" w:firstLine="420"/>
      </w:pPr>
    </w:p>
    <w:p w:rsidR="009A3CA3" w:rsidRDefault="009A3CA3" w:rsidP="009A3CA3">
      <w:pPr>
        <w:ind w:firstLineChars="200" w:firstLine="420"/>
      </w:pP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、“……”项目。</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lastRenderedPageBreak/>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p>
    <w:p w:rsidR="00E907C4"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p>
    <w:p w:rsidR="00DB2A5C" w:rsidRPr="00DB2A5C" w:rsidRDefault="00DB2A5C" w:rsidP="00DB2A5C">
      <w:pPr>
        <w:pStyle w:val="a3"/>
        <w:adjustRightInd w:val="0"/>
        <w:snapToGrid w:val="0"/>
        <w:spacing w:line="560" w:lineRule="exact"/>
        <w:ind w:firstLineChars="196" w:firstLine="627"/>
        <w:rPr>
          <w:rFonts w:ascii="TimesNewRoman" w:eastAsia="楷体_GB2312" w:hAnsi="TimesNewRoman" w:cs="TimesNewRoman"/>
          <w:color w:val="FF0000"/>
          <w:sz w:val="32"/>
          <w:szCs w:val="32"/>
        </w:rPr>
      </w:pPr>
      <w:r w:rsidRPr="009A3CA3">
        <w:rPr>
          <w:rFonts w:ascii="TimesNewRoman" w:eastAsia="楷体_GB2312" w:hAnsi="TimesNewRoman" w:cs="TimesNewRoman" w:hint="eastAsia"/>
          <w:color w:val="FF0000"/>
          <w:sz w:val="32"/>
          <w:szCs w:val="32"/>
        </w:rPr>
        <w:t>【如本部门（单位）</w:t>
      </w:r>
      <w:r>
        <w:rPr>
          <w:rFonts w:ascii="TimesNewRoman" w:eastAsia="楷体_GB2312" w:hAnsi="TimesNewRoman" w:cs="TimesNewRoman" w:hint="eastAsia"/>
          <w:color w:val="FF0000"/>
          <w:sz w:val="32"/>
          <w:szCs w:val="32"/>
        </w:rPr>
        <w:t>项目支出较多，</w:t>
      </w:r>
      <w:r w:rsidRPr="00DB2A5C">
        <w:rPr>
          <w:rFonts w:ascii="TimesNewRoman" w:eastAsia="楷体_GB2312" w:hAnsi="TimesNewRoman" w:cs="TimesNewRoman" w:hint="eastAsia"/>
          <w:b/>
          <w:color w:val="FF0000"/>
          <w:sz w:val="32"/>
          <w:szCs w:val="32"/>
        </w:rPr>
        <w:t>项目支出绩效目标表</w:t>
      </w:r>
      <w:r>
        <w:rPr>
          <w:rFonts w:ascii="TimesNewRoman" w:eastAsia="楷体_GB2312" w:hAnsi="TimesNewRoman" w:cs="TimesNewRoman" w:hint="eastAsia"/>
          <w:b/>
          <w:color w:val="FF0000"/>
          <w:sz w:val="32"/>
          <w:szCs w:val="32"/>
        </w:rPr>
        <w:t>可以附件形式公开</w:t>
      </w:r>
      <w:r w:rsidRPr="009A3CA3">
        <w:rPr>
          <w:rFonts w:ascii="TimesNewRoman" w:eastAsia="楷体_GB2312" w:hAnsi="TimesNewRoman" w:cs="TimesNewRoman" w:hint="eastAsia"/>
          <w:color w:val="FF0000"/>
          <w:sz w:val="32"/>
          <w:szCs w:val="32"/>
        </w:rPr>
        <w:t>】</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（二）机关运行经费。</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02032E">
        <w:rPr>
          <w:rFonts w:ascii="TimesNewRoman" w:eastAsia="仿宋_GB2312" w:hAnsi="TimesNewRoman" w:cs="TimesNewRoman" w:hint="eastAsia"/>
          <w:bCs/>
          <w:sz w:val="32"/>
          <w:szCs w:val="32"/>
        </w:rPr>
        <w:t>农业综合行政执法支队</w:t>
      </w:r>
      <w:r w:rsidRPr="009A3CA3">
        <w:rPr>
          <w:rFonts w:ascii="TimesNewRoman" w:eastAsia="仿宋_GB2312" w:hAnsi="TimesNewRoman" w:cs="TimesNewRoman" w:hint="eastAsia"/>
          <w:kern w:val="0"/>
          <w:sz w:val="32"/>
          <w:szCs w:val="32"/>
        </w:rPr>
        <w:t>为非参照公务员法管理的事业单位，按照部门预算机关运行经费口径，</w:t>
      </w:r>
      <w:r w:rsidR="00DB2A5C">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年无机关运行经费财政拨款预算。</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（三）政府采购情况。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02032E">
        <w:rPr>
          <w:rFonts w:ascii="TimesNewRoman" w:eastAsia="仿宋_GB2312" w:hAnsi="TimesNewRoman" w:cs="TimesNewRoman" w:hint="eastAsia"/>
          <w:bCs/>
          <w:sz w:val="32"/>
          <w:szCs w:val="32"/>
        </w:rPr>
        <w:t>农业综合行政执法支队</w:t>
      </w:r>
      <w:r w:rsidR="00DB2A5C">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年政府采购预算</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万元。其中：政府采购货物预算</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万元，政府采购工程预算</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万元，政府采购服务预算</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万元。</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（四）国有资产占有使用情况。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截至</w:t>
      </w:r>
      <w:r w:rsidR="00DB2A5C">
        <w:rPr>
          <w:rFonts w:ascii="TimesNewRoman" w:eastAsia="仿宋_GB2312" w:hAnsi="TimesNewRoman" w:cs="TimesNewRoman" w:hint="eastAsia"/>
          <w:kern w:val="0"/>
          <w:sz w:val="32"/>
          <w:szCs w:val="32"/>
        </w:rPr>
        <w:t>2023</w:t>
      </w:r>
      <w:r w:rsidRPr="009A3CA3">
        <w:rPr>
          <w:rFonts w:ascii="TimesNewRoman" w:eastAsia="仿宋_GB2312" w:hAnsi="TimesNewRoman" w:cs="TimesNewRoman" w:hint="eastAsia"/>
          <w:kern w:val="0"/>
          <w:sz w:val="32"/>
          <w:szCs w:val="32"/>
        </w:rPr>
        <w:t>年</w:t>
      </w:r>
      <w:r w:rsidRPr="009A3CA3">
        <w:rPr>
          <w:rFonts w:ascii="TimesNewRoman" w:eastAsia="仿宋_GB2312" w:hAnsi="TimesNewRoman" w:cs="TimesNewRoman" w:hint="eastAsia"/>
          <w:kern w:val="0"/>
          <w:sz w:val="32"/>
          <w:szCs w:val="32"/>
        </w:rPr>
        <w:t>12</w:t>
      </w:r>
      <w:r w:rsidRPr="009A3CA3">
        <w:rPr>
          <w:rFonts w:ascii="TimesNewRoman" w:eastAsia="仿宋_GB2312" w:hAnsi="TimesNewRoman" w:cs="TimesNewRoman" w:hint="eastAsia"/>
          <w:kern w:val="0"/>
          <w:sz w:val="32"/>
          <w:szCs w:val="32"/>
        </w:rPr>
        <w:t>月</w:t>
      </w:r>
      <w:r w:rsidRPr="009A3CA3">
        <w:rPr>
          <w:rFonts w:ascii="TimesNewRoman" w:eastAsia="仿宋_GB2312" w:hAnsi="TimesNewRoman" w:cs="TimesNewRoman" w:hint="eastAsia"/>
          <w:kern w:val="0"/>
          <w:sz w:val="32"/>
          <w:szCs w:val="32"/>
        </w:rPr>
        <w:t>31</w:t>
      </w:r>
      <w:r w:rsidRPr="009A3CA3">
        <w:rPr>
          <w:rFonts w:ascii="TimesNewRoman" w:eastAsia="仿宋_GB2312" w:hAnsi="TimesNewRoman" w:cs="TimesNewRoman" w:hint="eastAsia"/>
          <w:kern w:val="0"/>
          <w:sz w:val="32"/>
          <w:szCs w:val="32"/>
        </w:rPr>
        <w:t>日，淮北市</w:t>
      </w:r>
      <w:r w:rsidR="0002032E">
        <w:rPr>
          <w:rFonts w:ascii="TimesNewRoman" w:eastAsia="仿宋_GB2312" w:hAnsi="TimesNewRoman" w:cs="TimesNewRoman" w:hint="eastAsia"/>
          <w:bCs/>
          <w:sz w:val="32"/>
          <w:szCs w:val="32"/>
        </w:rPr>
        <w:t>农业综合行政执法支队</w:t>
      </w:r>
      <w:r w:rsidRPr="009A3CA3">
        <w:rPr>
          <w:rFonts w:ascii="TimesNewRoman" w:eastAsia="仿宋_GB2312" w:hAnsi="TimesNewRoman" w:cs="TimesNewRoman" w:hint="eastAsia"/>
          <w:kern w:val="0"/>
          <w:sz w:val="32"/>
          <w:szCs w:val="32"/>
        </w:rPr>
        <w:t>共有车辆</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辆，其中：主要领导干部用车</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辆、机要通信用车</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辆、应急保障用车</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辆、执法执勤用车</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辆、特种专业技术用车</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辆、离退休干部用车</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辆、其他用车</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辆（只列报车辆不为</w:t>
      </w:r>
      <w:r w:rsidRPr="009A3CA3">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的车型）。单价</w:t>
      </w:r>
      <w:r w:rsidRPr="009A3CA3">
        <w:rPr>
          <w:rFonts w:ascii="TimesNewRoman" w:eastAsia="仿宋_GB2312" w:hAnsi="TimesNewRoman" w:cs="TimesNewRoman" w:hint="eastAsia"/>
          <w:kern w:val="0"/>
          <w:sz w:val="32"/>
          <w:szCs w:val="32"/>
        </w:rPr>
        <w:t>50</w:t>
      </w:r>
      <w:r w:rsidRPr="009A3CA3">
        <w:rPr>
          <w:rFonts w:ascii="TimesNewRoman" w:eastAsia="仿宋_GB2312" w:hAnsi="TimesNewRoman" w:cs="TimesNewRoman" w:hint="eastAsia"/>
          <w:kern w:val="0"/>
          <w:sz w:val="32"/>
          <w:szCs w:val="32"/>
        </w:rPr>
        <w:t>万元以上的</w:t>
      </w:r>
      <w:r w:rsidRPr="009A3CA3">
        <w:rPr>
          <w:rFonts w:ascii="TimesNewRoman" w:eastAsia="仿宋_GB2312" w:hAnsi="TimesNewRoman" w:cs="TimesNewRoman" w:hint="eastAsia"/>
          <w:kern w:val="0"/>
          <w:sz w:val="32"/>
          <w:szCs w:val="32"/>
        </w:rPr>
        <w:lastRenderedPageBreak/>
        <w:t>通用设备</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台（套），单价</w:t>
      </w:r>
      <w:r w:rsidRPr="009A3CA3">
        <w:rPr>
          <w:rFonts w:ascii="TimesNewRoman" w:eastAsia="仿宋_GB2312" w:hAnsi="TimesNewRoman" w:cs="TimesNewRoman" w:hint="eastAsia"/>
          <w:kern w:val="0"/>
          <w:sz w:val="32"/>
          <w:szCs w:val="32"/>
        </w:rPr>
        <w:t>100</w:t>
      </w:r>
      <w:r w:rsidRPr="009A3CA3">
        <w:rPr>
          <w:rFonts w:ascii="TimesNewRoman" w:eastAsia="仿宋_GB2312" w:hAnsi="TimesNewRoman" w:cs="TimesNewRoman" w:hint="eastAsia"/>
          <w:kern w:val="0"/>
          <w:sz w:val="32"/>
          <w:szCs w:val="32"/>
        </w:rPr>
        <w:t>万元以上的专用设备</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台（套）。</w:t>
      </w:r>
    </w:p>
    <w:p w:rsidR="00E907C4" w:rsidRPr="00BA3687" w:rsidRDefault="00DB2A5C" w:rsidP="00BA368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年部门（单位）预算安排购置公务用车</w:t>
      </w:r>
      <w:r w:rsidR="00BA3687">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辆，购置费</w:t>
      </w:r>
      <w:r w:rsidR="00BA3687">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万元，其中：主要领导干部用车</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辆、机要通信用车</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辆、应急保障用车</w:t>
      </w:r>
      <w:r w:rsidR="00BA3687">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辆、执法执勤用车</w:t>
      </w:r>
      <w:r w:rsidR="00BA3687">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辆、特种专业技术用车</w:t>
      </w:r>
      <w:r w:rsidR="00BA3687">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辆、离退休干部用车</w:t>
      </w:r>
      <w:r w:rsidR="00BA3687">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辆、其他用车</w:t>
      </w:r>
      <w:r w:rsidR="00BA3687">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辆（只列报车辆不为</w:t>
      </w:r>
      <w:r w:rsidR="00E907C4" w:rsidRPr="009A3CA3">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的车型）；安排购置单价</w:t>
      </w:r>
      <w:r w:rsidR="00E907C4" w:rsidRPr="009A3CA3">
        <w:rPr>
          <w:rFonts w:ascii="TimesNewRoman" w:eastAsia="仿宋_GB2312" w:hAnsi="TimesNewRoman" w:cs="TimesNewRoman" w:hint="eastAsia"/>
          <w:kern w:val="0"/>
          <w:sz w:val="32"/>
          <w:szCs w:val="32"/>
        </w:rPr>
        <w:t>50</w:t>
      </w:r>
      <w:r w:rsidR="00E907C4" w:rsidRPr="009A3CA3">
        <w:rPr>
          <w:rFonts w:ascii="TimesNewRoman" w:eastAsia="仿宋_GB2312" w:hAnsi="TimesNewRoman" w:cs="TimesNewRoman" w:hint="eastAsia"/>
          <w:kern w:val="0"/>
          <w:sz w:val="32"/>
          <w:szCs w:val="32"/>
        </w:rPr>
        <w:t>万元以上的通用设备</w:t>
      </w:r>
      <w:r w:rsidR="00BA3687">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台（套），购置费</w:t>
      </w:r>
      <w:r w:rsidR="00BA3687">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万元；安排购置单价</w:t>
      </w:r>
      <w:r w:rsidR="00E907C4" w:rsidRPr="009A3CA3">
        <w:rPr>
          <w:rFonts w:ascii="TimesNewRoman" w:eastAsia="仿宋_GB2312" w:hAnsi="TimesNewRoman" w:cs="TimesNewRoman" w:hint="eastAsia"/>
          <w:kern w:val="0"/>
          <w:sz w:val="32"/>
          <w:szCs w:val="32"/>
        </w:rPr>
        <w:t>100</w:t>
      </w:r>
      <w:r w:rsidR="00E907C4" w:rsidRPr="009A3CA3">
        <w:rPr>
          <w:rFonts w:ascii="TimesNewRoman" w:eastAsia="仿宋_GB2312" w:hAnsi="TimesNewRoman" w:cs="TimesNewRoman" w:hint="eastAsia"/>
          <w:kern w:val="0"/>
          <w:sz w:val="32"/>
          <w:szCs w:val="32"/>
        </w:rPr>
        <w:t>万元以上专用设备</w:t>
      </w:r>
      <w:r w:rsidR="00BA3687">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台（套），购置费</w:t>
      </w:r>
      <w:r w:rsidR="00BA3687">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（五）绩效目标设置情况。</w:t>
      </w:r>
    </w:p>
    <w:p w:rsidR="00E907C4" w:rsidRPr="009A3CA3" w:rsidRDefault="00DB2A5C"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年，淮北市</w:t>
      </w:r>
      <w:r w:rsidR="0002032E">
        <w:rPr>
          <w:rFonts w:ascii="TimesNewRoman" w:eastAsia="仿宋_GB2312" w:hAnsi="TimesNewRoman" w:cs="TimesNewRoman" w:hint="eastAsia"/>
          <w:bCs/>
          <w:sz w:val="32"/>
          <w:szCs w:val="32"/>
        </w:rPr>
        <w:t>农业综合行政执法支队</w:t>
      </w:r>
      <w:r w:rsidR="00BA3687">
        <w:rPr>
          <w:rFonts w:ascii="TimesNewRoman" w:eastAsia="仿宋_GB2312" w:hAnsi="TimesNewRoman" w:cs="TimesNewRoman" w:hint="eastAsia"/>
          <w:kern w:val="0"/>
          <w:sz w:val="32"/>
          <w:szCs w:val="32"/>
        </w:rPr>
        <w:t>4</w:t>
      </w:r>
      <w:r w:rsidR="00E907C4" w:rsidRPr="009A3CA3">
        <w:rPr>
          <w:rFonts w:ascii="TimesNewRoman" w:eastAsia="仿宋_GB2312" w:hAnsi="TimesNewRoman" w:cs="TimesNewRoman" w:hint="eastAsia"/>
          <w:kern w:val="0"/>
          <w:sz w:val="32"/>
          <w:szCs w:val="32"/>
        </w:rPr>
        <w:t>个项目实行了绩效目标管理，涉及一般公共预算当年财政拨款</w:t>
      </w:r>
      <w:r w:rsidR="00BA3687">
        <w:rPr>
          <w:rFonts w:ascii="TimesNewRoman" w:eastAsia="仿宋_GB2312" w:hAnsi="TimesNewRoman" w:cs="TimesNewRoman" w:hint="eastAsia"/>
          <w:kern w:val="0"/>
          <w:sz w:val="32"/>
          <w:szCs w:val="32"/>
        </w:rPr>
        <w:t>50</w:t>
      </w:r>
      <w:r w:rsidR="00E907C4" w:rsidRPr="009A3CA3">
        <w:rPr>
          <w:rFonts w:ascii="TimesNewRoman" w:eastAsia="仿宋_GB2312" w:hAnsi="TimesNewRoman" w:cs="TimesNewRoman" w:hint="eastAsia"/>
          <w:kern w:val="0"/>
          <w:sz w:val="32"/>
          <w:szCs w:val="32"/>
        </w:rPr>
        <w:t>万元、政府性基金预算当年财政拨款</w:t>
      </w:r>
      <w:r w:rsidR="00BA3687">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万元、财政专户管理资金当年安排</w:t>
      </w:r>
      <w:r w:rsidR="00BA3687">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w:t>
      </w:r>
    </w:p>
    <w:p w:rsidR="006546AF" w:rsidRDefault="006546AF" w:rsidP="00E907C4">
      <w:pPr>
        <w:pStyle w:val="a3"/>
        <w:adjustRightInd w:val="0"/>
        <w:snapToGrid w:val="0"/>
        <w:spacing w:line="560" w:lineRule="exact"/>
        <w:jc w:val="center"/>
        <w:rPr>
          <w:rFonts w:ascii="TimesNewRoman" w:eastAsia="黑体" w:hAnsi="TimesNewRoman" w:cs="TimesNewRoman"/>
          <w:bCs/>
          <w:sz w:val="36"/>
          <w:szCs w:val="36"/>
        </w:rPr>
      </w:pP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第四部分</w:t>
      </w:r>
      <w:r w:rsidRPr="00E907C4">
        <w:rPr>
          <w:rFonts w:ascii="TimesNewRoman" w:eastAsia="黑体" w:hAnsi="TimesNewRoman" w:cs="TimesNewRoman" w:hint="eastAsia"/>
          <w:bCs/>
          <w:sz w:val="36"/>
          <w:szCs w:val="36"/>
        </w:rPr>
        <w:t xml:space="preserve"> </w:t>
      </w:r>
      <w:r w:rsidRPr="00E907C4">
        <w:rPr>
          <w:rFonts w:ascii="TimesNewRoman" w:eastAsia="黑体" w:hAnsi="TimesNewRoman" w:cs="TimesNewRoman" w:hint="eastAsia"/>
          <w:bCs/>
          <w:sz w:val="36"/>
          <w:szCs w:val="36"/>
        </w:rPr>
        <w:t>名词解释</w:t>
      </w:r>
    </w:p>
    <w:p w:rsidR="00E907C4" w:rsidRDefault="00E907C4" w:rsidP="00E907C4"/>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一、财政拨款收入：</w:t>
      </w:r>
      <w:r w:rsidRPr="009A3CA3">
        <w:rPr>
          <w:rFonts w:ascii="TimesNewRoman" w:eastAsia="仿宋_GB2312" w:hAnsi="TimesNewRoman" w:cs="TimesNewRoman" w:hint="eastAsia"/>
          <w:sz w:val="32"/>
          <w:szCs w:val="32"/>
        </w:rPr>
        <w:t>指部门或单位从同级财政部门取得的财政预算资金。</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二、事业收入：</w:t>
      </w:r>
      <w:r w:rsidRPr="009A3CA3">
        <w:rPr>
          <w:rFonts w:ascii="TimesNewRoman" w:eastAsia="仿宋_GB2312" w:hAnsi="TimesNewRoman" w:cs="TimesNewRoman" w:hint="eastAsia"/>
          <w:sz w:val="32"/>
          <w:szCs w:val="32"/>
        </w:rPr>
        <w:t>指事业单位开展专业业务活动及辅助活动所取得的收入。</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三、财政专户管理资金：</w:t>
      </w:r>
      <w:r w:rsidRPr="009A3CA3">
        <w:rPr>
          <w:rFonts w:ascii="TimesNewRoman" w:eastAsia="仿宋_GB2312" w:hAnsi="TimesNewRoman" w:cs="TimesNewRoman" w:hint="eastAsia"/>
          <w:sz w:val="32"/>
          <w:szCs w:val="32"/>
        </w:rPr>
        <w:t>指按照非税收入管理相关规定，纳入财政专户管理的教育收费等。</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lastRenderedPageBreak/>
        <w:t>四、事业单位经营收入：</w:t>
      </w:r>
      <w:r w:rsidRPr="009A3CA3">
        <w:rPr>
          <w:rFonts w:ascii="TimesNewRoman" w:eastAsia="仿宋_GB2312" w:hAnsi="TimesNewRoman" w:cs="TimesNewRoman" w:hint="eastAsia"/>
          <w:sz w:val="32"/>
          <w:szCs w:val="32"/>
        </w:rPr>
        <w:t>指事业单位在专业业务活动及其辅助活动之外开展非独立核算经营活动取得的收入。</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五、附属单位上缴收入：</w:t>
      </w:r>
      <w:r w:rsidRPr="009A3CA3">
        <w:rPr>
          <w:rFonts w:ascii="TimesNewRoman" w:eastAsia="仿宋_GB2312" w:hAnsi="TimesNewRoman" w:cs="TimesNewRoman" w:hint="eastAsia"/>
          <w:sz w:val="32"/>
          <w:szCs w:val="32"/>
        </w:rPr>
        <w:t>本单位所属下级单位上缴给本单位的全部收入。</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六、上年结转：</w:t>
      </w:r>
      <w:r w:rsidRPr="009A3CA3">
        <w:rPr>
          <w:rFonts w:ascii="TimesNewRoman" w:eastAsia="仿宋_GB2312" w:hAnsi="TimesNewRoman" w:cs="TimesNewRoman" w:hint="eastAsia"/>
          <w:sz w:val="32"/>
          <w:szCs w:val="32"/>
        </w:rPr>
        <w:t>指以前年度安排、结转到本年仍按原用途继续使用的资金。</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七、结转下年：</w:t>
      </w:r>
      <w:r w:rsidRPr="009A3CA3">
        <w:rPr>
          <w:rFonts w:ascii="TimesNewRoman" w:eastAsia="仿宋_GB2312" w:hAnsi="TimesNewRoman" w:cs="TimesNewRoman" w:hint="eastAsia"/>
          <w:sz w:val="32"/>
          <w:szCs w:val="32"/>
        </w:rPr>
        <w:t>指以前年度预算安排、因客观条件发生变化无法按原计划实施，需以后年度按原用途继续使用的资金。</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八、基本支出：</w:t>
      </w:r>
      <w:r w:rsidRPr="009A3CA3">
        <w:rPr>
          <w:rFonts w:ascii="TimesNewRoman" w:eastAsia="仿宋_GB2312" w:hAnsi="TimesNewRoman" w:cs="TimesNewRoman" w:hint="eastAsia"/>
          <w:sz w:val="32"/>
          <w:szCs w:val="32"/>
        </w:rPr>
        <w:t>指为保障机构正常运转、完成日常工作任务而发生的人员支出和公用支出。</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九、项目支出：</w:t>
      </w:r>
      <w:r w:rsidRPr="009A3CA3">
        <w:rPr>
          <w:rFonts w:ascii="TimesNewRoman" w:eastAsia="仿宋_GB2312" w:hAnsi="TimesNewRoman" w:cs="TimesNewRoman" w:hint="eastAsia"/>
          <w:sz w:val="32"/>
          <w:szCs w:val="32"/>
        </w:rPr>
        <w:t>指在除基本支出之外的支出，主要用于完成特定的工作任务和事业发展目标。</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十、机关运行经费</w:t>
      </w:r>
      <w:r w:rsidRPr="009A3CA3">
        <w:rPr>
          <w:rFonts w:ascii="TimesNewRoman" w:eastAsia="仿宋_GB2312" w:hAnsi="TimesNewRoman" w:cs="TimesNewRoman" w:hint="eastAsia"/>
          <w:b/>
          <w:sz w:val="32"/>
          <w:szCs w:val="32"/>
        </w:rPr>
        <w:t xml:space="preserve">: </w:t>
      </w:r>
      <w:r w:rsidRPr="009A3CA3">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E907C4" w:rsidRDefault="00E907C4" w:rsidP="00E907C4"/>
    <w:p w:rsidR="00E907C4" w:rsidRDefault="00E907C4" w:rsidP="00E907C4"/>
    <w:p w:rsidR="00E907C4" w:rsidRDefault="00E907C4" w:rsidP="00E907C4"/>
    <w:p w:rsidR="00E907C4" w:rsidRDefault="00E907C4" w:rsidP="00E907C4"/>
    <w:p w:rsidR="00A972AC" w:rsidRPr="00E907C4" w:rsidRDefault="0064206B"/>
    <w:sectPr w:rsidR="00A972AC" w:rsidRPr="00E907C4" w:rsidSect="00BD640A">
      <w:headerReference w:type="even" r:id="rId7"/>
      <w:headerReference w:type="default" r:id="rId8"/>
      <w:footerReference w:type="even" r:id="rId9"/>
      <w:footerReference w:type="default" r:id="rId10"/>
      <w:headerReference w:type="first" r:id="rId11"/>
      <w:footerReference w:type="first" r:id="rId12"/>
      <w:pgSz w:w="11906" w:h="16838"/>
      <w:pgMar w:top="1304" w:right="1134" w:bottom="1304"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06B" w:rsidRDefault="0064206B" w:rsidP="000E28EE">
      <w:r>
        <w:separator/>
      </w:r>
    </w:p>
  </w:endnote>
  <w:endnote w:type="continuationSeparator" w:id="1">
    <w:p w:rsidR="0064206B" w:rsidRDefault="0064206B" w:rsidP="000E28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
    <w:altName w:val="Arial Unicode MS"/>
    <w:charset w:val="00"/>
    <w:family w:val="auto"/>
    <w:pitch w:val="default"/>
    <w:sig w:usb0="00000000" w:usb1="D00078FF"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汉仪中秀体简">
    <w:altName w:val="Arial Unicode MS"/>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E37" w:rsidRDefault="00962E3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E37" w:rsidRDefault="00962E3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E37" w:rsidRDefault="00962E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06B" w:rsidRDefault="0064206B" w:rsidP="000E28EE">
      <w:r>
        <w:separator/>
      </w:r>
    </w:p>
  </w:footnote>
  <w:footnote w:type="continuationSeparator" w:id="1">
    <w:p w:rsidR="0064206B" w:rsidRDefault="0064206B" w:rsidP="000E28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E37" w:rsidRDefault="00962E3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E37" w:rsidRDefault="00962E37" w:rsidP="00962E3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E37" w:rsidRDefault="00962E3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07C4"/>
    <w:rsid w:val="0002032E"/>
    <w:rsid w:val="00027FEF"/>
    <w:rsid w:val="000E28EE"/>
    <w:rsid w:val="001263A2"/>
    <w:rsid w:val="00134F13"/>
    <w:rsid w:val="00267E33"/>
    <w:rsid w:val="002C2452"/>
    <w:rsid w:val="003B23C4"/>
    <w:rsid w:val="00400A56"/>
    <w:rsid w:val="004A4DC6"/>
    <w:rsid w:val="0057562B"/>
    <w:rsid w:val="0064206B"/>
    <w:rsid w:val="006546AF"/>
    <w:rsid w:val="00726D96"/>
    <w:rsid w:val="00735866"/>
    <w:rsid w:val="00770386"/>
    <w:rsid w:val="007E4B26"/>
    <w:rsid w:val="008F6D1A"/>
    <w:rsid w:val="00962E37"/>
    <w:rsid w:val="009A2A9A"/>
    <w:rsid w:val="009A3CA3"/>
    <w:rsid w:val="00AE3242"/>
    <w:rsid w:val="00AE6A5D"/>
    <w:rsid w:val="00B06FF5"/>
    <w:rsid w:val="00B57F18"/>
    <w:rsid w:val="00BA3687"/>
    <w:rsid w:val="00BD640A"/>
    <w:rsid w:val="00DB2A5C"/>
    <w:rsid w:val="00DD7B61"/>
    <w:rsid w:val="00E907AC"/>
    <w:rsid w:val="00E907C4"/>
    <w:rsid w:val="00EC7755"/>
    <w:rsid w:val="00F245B6"/>
    <w:rsid w:val="00F76080"/>
    <w:rsid w:val="00F974AD"/>
    <w:rsid w:val="00FB6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907C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B2A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B2A5C"/>
    <w:rPr>
      <w:sz w:val="18"/>
      <w:szCs w:val="18"/>
    </w:rPr>
  </w:style>
  <w:style w:type="paragraph" w:styleId="a5">
    <w:name w:val="footer"/>
    <w:basedOn w:val="a"/>
    <w:link w:val="Char0"/>
    <w:uiPriority w:val="99"/>
    <w:semiHidden/>
    <w:unhideWhenUsed/>
    <w:rsid w:val="00DB2A5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B2A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8E50B-8FAC-481F-91A1-365FD3C3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1095</Words>
  <Characters>6243</Characters>
  <Application>Microsoft Office Word</Application>
  <DocSecurity>0</DocSecurity>
  <Lines>52</Lines>
  <Paragraphs>14</Paragraphs>
  <ScaleCrop>false</ScaleCrop>
  <Company>微软中国</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王辈鹤</cp:lastModifiedBy>
  <cp:revision>12</cp:revision>
  <dcterms:created xsi:type="dcterms:W3CDTF">2024-02-27T05:54:00Z</dcterms:created>
  <dcterms:modified xsi:type="dcterms:W3CDTF">2024-12-19T07:22:00Z</dcterms:modified>
</cp:coreProperties>
</file>