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EC" w:rsidRDefault="003708EC" w:rsidP="003708EC">
      <w:pPr>
        <w:rPr>
          <w:rFonts w:ascii="黑体" w:eastAsia="黑体" w:hAnsi="黑体" w:cs="黑体"/>
          <w:bCs/>
          <w:szCs w:val="32"/>
        </w:rPr>
      </w:pPr>
    </w:p>
    <w:p w:rsidR="003708EC" w:rsidRDefault="003708EC" w:rsidP="003708EC">
      <w:pPr>
        <w:jc w:val="center"/>
        <w:rPr>
          <w:rFonts w:ascii="宋体" w:hAnsi="宋体"/>
          <w:b/>
          <w:sz w:val="36"/>
          <w:szCs w:val="36"/>
        </w:rPr>
      </w:pPr>
      <w:r>
        <w:rPr>
          <w:rFonts w:ascii="宋体" w:hAnsi="宋体" w:hint="eastAsia"/>
          <w:b/>
          <w:sz w:val="36"/>
          <w:szCs w:val="36"/>
        </w:rPr>
        <w:t>淮北市畜牧中心</w:t>
      </w:r>
      <w:r>
        <w:rPr>
          <w:rFonts w:ascii="宋体" w:hAnsi="宋体" w:hint="eastAsia"/>
          <w:b/>
          <w:sz w:val="36"/>
          <w:szCs w:val="36"/>
        </w:rPr>
        <w:t>2023</w:t>
      </w:r>
      <w:r>
        <w:rPr>
          <w:rFonts w:ascii="宋体" w:hAnsi="宋体"/>
          <w:b/>
          <w:sz w:val="36"/>
          <w:szCs w:val="36"/>
        </w:rPr>
        <w:t>年</w:t>
      </w:r>
      <w:r>
        <w:rPr>
          <w:rFonts w:ascii="宋体" w:hAnsi="宋体" w:hint="eastAsia"/>
          <w:b/>
          <w:sz w:val="36"/>
          <w:szCs w:val="36"/>
        </w:rPr>
        <w:t>度一般公共预算财政拨款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3708EC" w:rsidRDefault="003708EC" w:rsidP="003708EC">
      <w:pPr>
        <w:jc w:val="center"/>
        <w:rPr>
          <w:rFonts w:ascii="楷体_GB2312" w:eastAsia="楷体_GB2312"/>
          <w:szCs w:val="32"/>
        </w:rPr>
      </w:pPr>
    </w:p>
    <w:p w:rsidR="003708EC" w:rsidRDefault="003708EC" w:rsidP="003708EC">
      <w:pPr>
        <w:rPr>
          <w:rFonts w:ascii="黑体" w:eastAsia="黑体" w:hAnsi="黑体"/>
          <w:szCs w:val="32"/>
        </w:rPr>
      </w:pPr>
      <w:r>
        <w:rPr>
          <w:rFonts w:ascii="黑体" w:eastAsia="黑体" w:hAnsi="黑体" w:hint="eastAsia"/>
          <w:szCs w:val="32"/>
        </w:rPr>
        <w:t xml:space="preserve">    一、2023年度一般公共预算财政拨款“三公”经费支出决算表</w:t>
      </w:r>
    </w:p>
    <w:p w:rsidR="003708EC" w:rsidRDefault="003708EC" w:rsidP="003708EC">
      <w:pPr>
        <w:ind w:firstLineChars="2298" w:firstLine="7354"/>
        <w:rPr>
          <w:rFonts w:ascii="黑体" w:eastAsia="黑体" w:hAnsi="黑体"/>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000"/>
      </w:tblPr>
      <w:tblGrid>
        <w:gridCol w:w="4379"/>
        <w:gridCol w:w="2157"/>
        <w:gridCol w:w="2220"/>
      </w:tblGrid>
      <w:tr w:rsidR="003708EC" w:rsidTr="003D5B92">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3708EC" w:rsidRDefault="003708EC" w:rsidP="003D5B92">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3708EC" w:rsidRDefault="003708EC" w:rsidP="003D5B92">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3708EC" w:rsidRDefault="003708EC" w:rsidP="003D5B92">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3708EC" w:rsidTr="003D5B92">
        <w:trPr>
          <w:trHeight w:val="397"/>
        </w:trPr>
        <w:tc>
          <w:tcPr>
            <w:tcW w:w="4379" w:type="dxa"/>
            <w:tcBorders>
              <w:top w:val="nil"/>
              <w:left w:val="single" w:sz="4" w:space="0" w:color="auto"/>
              <w:bottom w:val="single" w:sz="4" w:space="0" w:color="auto"/>
              <w:right w:val="single" w:sz="4" w:space="0" w:color="auto"/>
            </w:tcBorders>
            <w:vAlign w:val="center"/>
          </w:tcPr>
          <w:p w:rsidR="003708EC" w:rsidRDefault="003708EC" w:rsidP="003D5B92">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3708EC" w:rsidRDefault="003708EC" w:rsidP="003D5B92">
            <w:pPr>
              <w:widowControl/>
              <w:jc w:val="center"/>
              <w:rPr>
                <w:rFonts w:ascii="宋体" w:hAnsi="宋体" w:cs="宋体"/>
                <w:b/>
                <w:bCs/>
                <w:kern w:val="0"/>
                <w:szCs w:val="21"/>
              </w:rPr>
            </w:pPr>
            <w:r>
              <w:rPr>
                <w:rFonts w:ascii="宋体" w:hAnsi="宋体" w:cs="宋体" w:hint="eastAsia"/>
                <w:b/>
                <w:bCs/>
                <w:kern w:val="0"/>
                <w:szCs w:val="21"/>
              </w:rPr>
              <w:t xml:space="preserve">　</w:t>
            </w:r>
            <w:r w:rsidR="008A0CE6">
              <w:rPr>
                <w:rFonts w:ascii="宋体" w:hAnsi="宋体" w:cs="宋体" w:hint="eastAsia"/>
                <w:b/>
                <w:bCs/>
                <w:kern w:val="0"/>
                <w:szCs w:val="21"/>
              </w:rPr>
              <w:t>0.2</w:t>
            </w:r>
          </w:p>
        </w:tc>
        <w:tc>
          <w:tcPr>
            <w:tcW w:w="2220" w:type="dxa"/>
            <w:tcBorders>
              <w:top w:val="nil"/>
              <w:left w:val="nil"/>
              <w:bottom w:val="single" w:sz="4" w:space="0" w:color="auto"/>
              <w:right w:val="single" w:sz="4" w:space="0" w:color="auto"/>
            </w:tcBorders>
            <w:vAlign w:val="center"/>
          </w:tcPr>
          <w:p w:rsidR="003708EC" w:rsidRDefault="008A0CE6" w:rsidP="003D5B92">
            <w:pPr>
              <w:widowControl/>
              <w:jc w:val="center"/>
              <w:rPr>
                <w:rFonts w:ascii="宋体" w:hAnsi="宋体" w:cs="宋体"/>
                <w:b/>
                <w:bCs/>
                <w:kern w:val="0"/>
                <w:szCs w:val="21"/>
              </w:rPr>
            </w:pPr>
            <w:r>
              <w:rPr>
                <w:rFonts w:ascii="宋体" w:hAnsi="宋体" w:cs="宋体" w:hint="eastAsia"/>
                <w:b/>
                <w:bCs/>
                <w:kern w:val="0"/>
                <w:szCs w:val="21"/>
              </w:rPr>
              <w:t>0.2</w:t>
            </w:r>
            <w:r w:rsidR="003708EC">
              <w:rPr>
                <w:rFonts w:ascii="宋体" w:hAnsi="宋体" w:cs="宋体" w:hint="eastAsia"/>
                <w:b/>
                <w:bCs/>
                <w:kern w:val="0"/>
                <w:szCs w:val="21"/>
              </w:rPr>
              <w:t xml:space="preserve">　</w:t>
            </w:r>
          </w:p>
        </w:tc>
      </w:tr>
      <w:tr w:rsidR="003708EC" w:rsidTr="003D5B92">
        <w:trPr>
          <w:trHeight w:val="397"/>
        </w:trPr>
        <w:tc>
          <w:tcPr>
            <w:tcW w:w="4379" w:type="dxa"/>
            <w:tcBorders>
              <w:top w:val="nil"/>
              <w:left w:val="single" w:sz="4" w:space="0" w:color="auto"/>
              <w:bottom w:val="single" w:sz="4" w:space="0" w:color="auto"/>
              <w:right w:val="single" w:sz="4" w:space="0" w:color="auto"/>
            </w:tcBorders>
            <w:vAlign w:val="center"/>
          </w:tcPr>
          <w:p w:rsidR="003708EC" w:rsidRDefault="003708EC" w:rsidP="003D5B92">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3708EC" w:rsidRDefault="003708EC" w:rsidP="003D5B92">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3708EC" w:rsidRDefault="003708EC" w:rsidP="003D5B92">
            <w:pPr>
              <w:widowControl/>
              <w:jc w:val="left"/>
              <w:rPr>
                <w:rFonts w:ascii="宋体" w:hAnsi="宋体" w:cs="宋体"/>
                <w:kern w:val="0"/>
                <w:szCs w:val="21"/>
              </w:rPr>
            </w:pPr>
            <w:r>
              <w:rPr>
                <w:rFonts w:ascii="宋体" w:hAnsi="宋体" w:cs="宋体" w:hint="eastAsia"/>
                <w:kern w:val="0"/>
                <w:szCs w:val="21"/>
              </w:rPr>
              <w:t xml:space="preserve">　</w:t>
            </w:r>
          </w:p>
        </w:tc>
      </w:tr>
      <w:tr w:rsidR="003708EC" w:rsidTr="003D5B92">
        <w:trPr>
          <w:trHeight w:val="397"/>
        </w:trPr>
        <w:tc>
          <w:tcPr>
            <w:tcW w:w="4379" w:type="dxa"/>
            <w:tcBorders>
              <w:top w:val="nil"/>
              <w:left w:val="single" w:sz="4" w:space="0" w:color="auto"/>
              <w:bottom w:val="single" w:sz="4" w:space="0" w:color="auto"/>
              <w:right w:val="single" w:sz="4" w:space="0" w:color="auto"/>
            </w:tcBorders>
            <w:vAlign w:val="center"/>
          </w:tcPr>
          <w:p w:rsidR="003708EC" w:rsidRDefault="003708EC" w:rsidP="003D5B92">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3708EC" w:rsidRDefault="003708EC" w:rsidP="003D5B92">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0.2</w:t>
            </w:r>
          </w:p>
        </w:tc>
        <w:tc>
          <w:tcPr>
            <w:tcW w:w="2220" w:type="dxa"/>
            <w:tcBorders>
              <w:top w:val="nil"/>
              <w:left w:val="nil"/>
              <w:bottom w:val="single" w:sz="4" w:space="0" w:color="auto"/>
              <w:right w:val="single" w:sz="4" w:space="0" w:color="auto"/>
            </w:tcBorders>
            <w:vAlign w:val="bottom"/>
          </w:tcPr>
          <w:p w:rsidR="003708EC" w:rsidRDefault="003708EC" w:rsidP="003D5B92">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0.2</w:t>
            </w:r>
          </w:p>
        </w:tc>
      </w:tr>
      <w:tr w:rsidR="003708EC" w:rsidTr="003D5B92">
        <w:trPr>
          <w:trHeight w:val="397"/>
        </w:trPr>
        <w:tc>
          <w:tcPr>
            <w:tcW w:w="4379" w:type="dxa"/>
            <w:tcBorders>
              <w:top w:val="nil"/>
              <w:left w:val="single" w:sz="4" w:space="0" w:color="auto"/>
              <w:bottom w:val="single" w:sz="4" w:space="0" w:color="auto"/>
              <w:right w:val="single" w:sz="4" w:space="0" w:color="auto"/>
            </w:tcBorders>
            <w:vAlign w:val="center"/>
          </w:tcPr>
          <w:p w:rsidR="003708EC" w:rsidRDefault="003708EC" w:rsidP="003D5B92">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3708EC" w:rsidRDefault="003708EC" w:rsidP="003D5B92">
            <w:pPr>
              <w:widowControl/>
              <w:jc w:val="left"/>
              <w:rPr>
                <w:rFonts w:ascii="宋体" w:hAnsi="宋体" w:cs="宋体"/>
                <w:kern w:val="0"/>
                <w:szCs w:val="21"/>
              </w:rPr>
            </w:pPr>
          </w:p>
        </w:tc>
        <w:tc>
          <w:tcPr>
            <w:tcW w:w="2220" w:type="dxa"/>
            <w:tcBorders>
              <w:top w:val="nil"/>
              <w:left w:val="nil"/>
              <w:bottom w:val="single" w:sz="4" w:space="0" w:color="auto"/>
              <w:right w:val="single" w:sz="4" w:space="0" w:color="auto"/>
            </w:tcBorders>
            <w:vAlign w:val="bottom"/>
          </w:tcPr>
          <w:p w:rsidR="003708EC" w:rsidRDefault="003708EC" w:rsidP="003D5B92">
            <w:pPr>
              <w:widowControl/>
              <w:jc w:val="left"/>
              <w:rPr>
                <w:rFonts w:ascii="宋体" w:hAnsi="宋体" w:cs="宋体"/>
                <w:kern w:val="0"/>
                <w:szCs w:val="21"/>
              </w:rPr>
            </w:pPr>
          </w:p>
        </w:tc>
      </w:tr>
      <w:tr w:rsidR="003708EC" w:rsidTr="003D5B92">
        <w:trPr>
          <w:trHeight w:val="397"/>
        </w:trPr>
        <w:tc>
          <w:tcPr>
            <w:tcW w:w="4379" w:type="dxa"/>
            <w:tcBorders>
              <w:top w:val="nil"/>
              <w:left w:val="single" w:sz="4" w:space="0" w:color="auto"/>
              <w:bottom w:val="single" w:sz="4" w:space="0" w:color="auto"/>
              <w:right w:val="single" w:sz="4" w:space="0" w:color="auto"/>
            </w:tcBorders>
            <w:vAlign w:val="center"/>
          </w:tcPr>
          <w:p w:rsidR="003708EC" w:rsidRDefault="003708EC" w:rsidP="003D5B92">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其中：公务用车购置费</w:t>
            </w:r>
          </w:p>
        </w:tc>
        <w:tc>
          <w:tcPr>
            <w:tcW w:w="2157" w:type="dxa"/>
            <w:tcBorders>
              <w:top w:val="nil"/>
              <w:left w:val="nil"/>
              <w:bottom w:val="single" w:sz="4" w:space="0" w:color="auto"/>
              <w:right w:val="single" w:sz="4" w:space="0" w:color="auto"/>
            </w:tcBorders>
            <w:vAlign w:val="bottom"/>
          </w:tcPr>
          <w:p w:rsidR="003708EC" w:rsidRDefault="003708EC" w:rsidP="003D5B92">
            <w:pPr>
              <w:widowControl/>
              <w:jc w:val="left"/>
              <w:rPr>
                <w:rFonts w:ascii="宋体" w:hAnsi="宋体" w:cs="宋体"/>
                <w:kern w:val="0"/>
                <w:szCs w:val="21"/>
              </w:rPr>
            </w:pPr>
            <w:r>
              <w:rPr>
                <w:rFonts w:ascii="宋体" w:hAnsi="宋体" w:cs="宋体" w:hint="eastAsia"/>
                <w:kern w:val="0"/>
                <w:szCs w:val="21"/>
              </w:rPr>
              <w:t xml:space="preserve">　</w:t>
            </w:r>
          </w:p>
        </w:tc>
        <w:tc>
          <w:tcPr>
            <w:tcW w:w="2220" w:type="dxa"/>
            <w:tcBorders>
              <w:top w:val="nil"/>
              <w:left w:val="nil"/>
              <w:bottom w:val="single" w:sz="4" w:space="0" w:color="auto"/>
              <w:right w:val="single" w:sz="4" w:space="0" w:color="auto"/>
            </w:tcBorders>
            <w:vAlign w:val="bottom"/>
          </w:tcPr>
          <w:p w:rsidR="003708EC" w:rsidRDefault="003708EC" w:rsidP="003D5B92">
            <w:pPr>
              <w:widowControl/>
              <w:jc w:val="left"/>
              <w:rPr>
                <w:rFonts w:ascii="宋体" w:hAnsi="宋体" w:cs="宋体"/>
                <w:kern w:val="0"/>
                <w:szCs w:val="21"/>
              </w:rPr>
            </w:pPr>
            <w:r>
              <w:rPr>
                <w:rFonts w:ascii="宋体" w:hAnsi="宋体" w:cs="宋体" w:hint="eastAsia"/>
                <w:kern w:val="0"/>
                <w:szCs w:val="21"/>
              </w:rPr>
              <w:t xml:space="preserve">　</w:t>
            </w:r>
          </w:p>
        </w:tc>
      </w:tr>
      <w:tr w:rsidR="003708EC" w:rsidTr="003D5B92">
        <w:trPr>
          <w:trHeight w:val="397"/>
        </w:trPr>
        <w:tc>
          <w:tcPr>
            <w:tcW w:w="4379" w:type="dxa"/>
            <w:tcBorders>
              <w:top w:val="nil"/>
              <w:left w:val="single" w:sz="4" w:space="0" w:color="auto"/>
              <w:bottom w:val="single" w:sz="4" w:space="0" w:color="auto"/>
              <w:right w:val="single" w:sz="4" w:space="0" w:color="auto"/>
            </w:tcBorders>
            <w:vAlign w:val="center"/>
          </w:tcPr>
          <w:p w:rsidR="003708EC" w:rsidRDefault="003708EC" w:rsidP="003D5B92">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公务用车运行维护费</w:t>
            </w:r>
            <w:r>
              <w:rPr>
                <w:rFonts w:ascii="宋体" w:hAnsi="宋体" w:cs="宋体" w:hint="eastAsia"/>
                <w:kern w:val="0"/>
                <w:szCs w:val="21"/>
              </w:rPr>
              <w:t xml:space="preserve"> </w:t>
            </w:r>
          </w:p>
        </w:tc>
        <w:tc>
          <w:tcPr>
            <w:tcW w:w="2157" w:type="dxa"/>
            <w:tcBorders>
              <w:top w:val="nil"/>
              <w:left w:val="nil"/>
              <w:bottom w:val="single" w:sz="4" w:space="0" w:color="auto"/>
              <w:right w:val="single" w:sz="4" w:space="0" w:color="auto"/>
            </w:tcBorders>
            <w:vAlign w:val="bottom"/>
          </w:tcPr>
          <w:p w:rsidR="003708EC" w:rsidRDefault="003708EC" w:rsidP="003D5B92">
            <w:pPr>
              <w:widowControl/>
              <w:jc w:val="left"/>
              <w:rPr>
                <w:rFonts w:ascii="宋体" w:hAnsi="宋体" w:cs="宋体"/>
                <w:kern w:val="0"/>
                <w:szCs w:val="21"/>
              </w:rPr>
            </w:pPr>
          </w:p>
        </w:tc>
        <w:tc>
          <w:tcPr>
            <w:tcW w:w="2220" w:type="dxa"/>
            <w:tcBorders>
              <w:top w:val="nil"/>
              <w:left w:val="nil"/>
              <w:bottom w:val="single" w:sz="4" w:space="0" w:color="auto"/>
              <w:right w:val="single" w:sz="4" w:space="0" w:color="auto"/>
            </w:tcBorders>
            <w:vAlign w:val="bottom"/>
          </w:tcPr>
          <w:p w:rsidR="003708EC" w:rsidRDefault="003708EC" w:rsidP="003D5B92">
            <w:pPr>
              <w:widowControl/>
              <w:jc w:val="left"/>
              <w:rPr>
                <w:rFonts w:ascii="宋体" w:hAnsi="宋体" w:cs="宋体"/>
                <w:kern w:val="0"/>
                <w:szCs w:val="21"/>
              </w:rPr>
            </w:pPr>
          </w:p>
        </w:tc>
      </w:tr>
    </w:tbl>
    <w:p w:rsidR="003708EC" w:rsidRDefault="003708EC" w:rsidP="003708EC">
      <w:pPr>
        <w:spacing w:line="300" w:lineRule="exact"/>
        <w:rPr>
          <w:rFonts w:ascii="仿宋_GB2312" w:hAnsi="仿宋"/>
          <w:sz w:val="21"/>
          <w:szCs w:val="21"/>
        </w:rPr>
      </w:pPr>
    </w:p>
    <w:p w:rsidR="003708EC" w:rsidRDefault="003708EC" w:rsidP="003708EC">
      <w:pPr>
        <w:spacing w:line="300" w:lineRule="exact"/>
        <w:rPr>
          <w:rFonts w:ascii="黑体" w:eastAsia="黑体" w:hAnsi="黑体"/>
          <w:szCs w:val="32"/>
        </w:rPr>
      </w:pPr>
      <w:r>
        <w:rPr>
          <w:rFonts w:ascii="仿宋_GB2312" w:hAnsi="仿宋" w:hint="eastAsia"/>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ascii="仿宋_GB2312" w:hAnsi="仿宋" w:hint="eastAsia"/>
          <w:szCs w:val="32"/>
        </w:rPr>
        <w:t xml:space="preserve">  </w:t>
      </w:r>
      <w:r>
        <w:rPr>
          <w:rFonts w:ascii="黑体" w:eastAsia="黑体" w:hAnsi="黑体" w:hint="eastAsia"/>
          <w:szCs w:val="32"/>
        </w:rPr>
        <w:t xml:space="preserve">                                    </w:t>
      </w:r>
    </w:p>
    <w:p w:rsidR="003708EC" w:rsidRDefault="003708EC" w:rsidP="003708EC">
      <w:pPr>
        <w:rPr>
          <w:rFonts w:ascii="黑体" w:eastAsia="黑体" w:hAnsi="黑体"/>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2023</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3708EC" w:rsidRDefault="003708EC" w:rsidP="003708EC">
      <w:pPr>
        <w:ind w:firstLineChars="200" w:firstLine="643"/>
        <w:rPr>
          <w:rFonts w:ascii="仿宋_GB2312" w:hAnsi="仿宋"/>
          <w:b/>
          <w:szCs w:val="32"/>
        </w:rPr>
      </w:pPr>
      <w:r>
        <w:rPr>
          <w:rFonts w:ascii="仿宋_GB2312" w:hAnsi="仿宋" w:hint="eastAsia"/>
          <w:b/>
          <w:szCs w:val="32"/>
        </w:rPr>
        <w:t>（一）一般公共预算财政拨款“三公”经费支出决算总体情况说明。</w:t>
      </w:r>
    </w:p>
    <w:p w:rsidR="003708EC" w:rsidRDefault="003708EC" w:rsidP="003708EC">
      <w:pPr>
        <w:ind w:firstLineChars="200" w:firstLine="640"/>
        <w:rPr>
          <w:rFonts w:ascii="楷体_GB2312" w:eastAsia="楷体_GB2312" w:hAnsi="仿宋"/>
          <w:szCs w:val="32"/>
        </w:rPr>
      </w:pPr>
      <w:r>
        <w:rPr>
          <w:rFonts w:ascii="仿宋_GB2312" w:hAnsi="仿宋" w:hint="eastAsia"/>
          <w:szCs w:val="32"/>
        </w:rPr>
        <w:t>淮北市</w:t>
      </w:r>
      <w:bookmarkStart w:id="0" w:name="OLE_LINK22"/>
      <w:bookmarkStart w:id="1" w:name="OLE_LINK23"/>
      <w:r>
        <w:rPr>
          <w:rFonts w:ascii="仿宋_GB2312" w:hAnsi="仿宋" w:hint="eastAsia"/>
          <w:szCs w:val="32"/>
        </w:rPr>
        <w:t>畜牧中心</w:t>
      </w:r>
      <w:bookmarkEnd w:id="0"/>
      <w:bookmarkEnd w:id="1"/>
      <w:r>
        <w:rPr>
          <w:rFonts w:ascii="仿宋_GB2312" w:hAnsi="仿宋" w:hint="eastAsia"/>
          <w:szCs w:val="32"/>
        </w:rPr>
        <w:t>2023年度一般公共预算财政拨款“三</w:t>
      </w:r>
      <w:r>
        <w:rPr>
          <w:rFonts w:ascii="仿宋_GB2312" w:hAnsi="仿宋" w:hint="eastAsia"/>
          <w:szCs w:val="32"/>
        </w:rPr>
        <w:lastRenderedPageBreak/>
        <w:t>公”经费支出预算为0.2万元，支出决算为0.2万元，完成预算的100%，与上年持平。</w:t>
      </w:r>
    </w:p>
    <w:p w:rsidR="003708EC" w:rsidRDefault="003708EC" w:rsidP="003708EC">
      <w:pPr>
        <w:ind w:firstLineChars="200" w:firstLine="643"/>
        <w:rPr>
          <w:rFonts w:ascii="仿宋_GB2312" w:hAnsi="仿宋"/>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3708EC" w:rsidRDefault="003708EC" w:rsidP="003708EC">
      <w:pPr>
        <w:ind w:firstLineChars="200" w:firstLine="640"/>
        <w:rPr>
          <w:rFonts w:ascii="仿宋_GB2312" w:hAnsi="仿宋"/>
          <w:szCs w:val="32"/>
        </w:rPr>
      </w:pPr>
      <w:r>
        <w:rPr>
          <w:rFonts w:ascii="仿宋_GB2312" w:hAnsi="仿宋" w:hint="eastAsia"/>
          <w:szCs w:val="32"/>
        </w:rPr>
        <w:t>淮北市畜牧中心2023年度一般公共预算财政拨款“三公”经费支出决算中，因公出国（境）费支出决算0万元，占0%;公务接待费支出决算0.2万元，占100%；公务用车购置及运行维护费支出决算0万元，占100%。具体情况如下：</w:t>
      </w:r>
    </w:p>
    <w:p w:rsidR="003708EC" w:rsidRDefault="003708EC" w:rsidP="003708EC">
      <w:pPr>
        <w:ind w:firstLine="628"/>
        <w:rPr>
          <w:rFonts w:ascii="仿宋_GB2312" w:hAnsi="仿宋"/>
          <w:szCs w:val="32"/>
        </w:rPr>
      </w:pPr>
      <w:r>
        <w:rPr>
          <w:rFonts w:ascii="仿宋_GB2312" w:hAnsi="仿宋" w:hint="eastAsia"/>
          <w:b/>
          <w:bCs/>
          <w:szCs w:val="32"/>
        </w:rPr>
        <w:t>1.因公出国（境）费</w:t>
      </w:r>
      <w:r>
        <w:rPr>
          <w:rFonts w:ascii="仿宋_GB2312" w:hAnsi="仿宋" w:hint="eastAsia"/>
          <w:szCs w:val="32"/>
        </w:rPr>
        <w:t>预算为0万元，支出决算为0万元，完成预算的100%；与上年持平。2023年淮北市畜牧中心因公出国（境）团组0次，累计出国（境）0人次。该项经费根据市外办批准的因公临时出国（境）计划，按照规定标准安排。经费使用严格按照《淮北市财政局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rsidR="003708EC" w:rsidRDefault="003708EC" w:rsidP="003708EC">
      <w:pPr>
        <w:ind w:firstLineChars="200" w:firstLine="643"/>
        <w:rPr>
          <w:rFonts w:ascii="仿宋_GB2312" w:hAnsi="仿宋"/>
          <w:szCs w:val="32"/>
        </w:rPr>
      </w:pPr>
      <w:r>
        <w:rPr>
          <w:rFonts w:ascii="仿宋_GB2312" w:hAnsi="仿宋" w:hint="eastAsia"/>
          <w:b/>
          <w:bCs/>
          <w:szCs w:val="32"/>
        </w:rPr>
        <w:t>2.公务接待费</w:t>
      </w:r>
      <w:r>
        <w:rPr>
          <w:rFonts w:ascii="仿宋_GB2312" w:hAnsi="仿宋" w:hint="eastAsia"/>
          <w:szCs w:val="32"/>
        </w:rPr>
        <w:t>预算为0.2万元，支出决算为0.2万元，完成预算的100%；与上年持平。2023年淮北市畜牧中心国内公务接待共2批次（其中外事接待0批次），11人次（其中外事接待0人次）。主要是用于单位公务接待支出。经费</w:t>
      </w:r>
      <w:r>
        <w:rPr>
          <w:rFonts w:ascii="仿宋_GB2312" w:hAnsi="仿宋" w:hint="eastAsia"/>
          <w:szCs w:val="32"/>
        </w:rPr>
        <w:lastRenderedPageBreak/>
        <w:t>使用贯彻中央八项规定精神和省委实</w:t>
      </w:r>
      <w:r>
        <w:rPr>
          <w:rFonts w:ascii="仿宋_GB2312" w:hAnsi="宋体" w:cs="宋体" w:hint="eastAsia"/>
          <w:color w:val="282828"/>
          <w:kern w:val="0"/>
          <w:szCs w:val="32"/>
        </w:rPr>
        <w:t>施细则</w:t>
      </w:r>
      <w:r>
        <w:rPr>
          <w:rFonts w:ascii="仿宋_GB2312" w:hAnsi="仿宋" w:hint="eastAsia"/>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rsidR="003708EC" w:rsidRDefault="003708EC" w:rsidP="003708EC">
      <w:pPr>
        <w:ind w:firstLineChars="200" w:firstLine="643"/>
        <w:rPr>
          <w:rFonts w:ascii="仿宋_GB2312"/>
        </w:rPr>
      </w:pPr>
      <w:r>
        <w:rPr>
          <w:rFonts w:ascii="仿宋_GB2312" w:hAnsi="仿宋" w:hint="eastAsia"/>
          <w:b/>
          <w:bCs/>
          <w:szCs w:val="32"/>
        </w:rPr>
        <w:t>3.公务用车购置及运行维护费</w:t>
      </w:r>
      <w:r>
        <w:rPr>
          <w:rFonts w:ascii="仿宋_GB2312" w:hAnsi="仿宋" w:hint="eastAsia"/>
          <w:szCs w:val="32"/>
        </w:rPr>
        <w:t>预算为0万元，支出决算为 0万元，完成预算的100%；与上年持平。其中， 2023年没有安排公务用车购置费。公务用车运行维护费预算为0万元，支出决算为0万元，完成预算的100%；与上年持平。公务用车运行维护费，包括车辆燃料费、维修费、过路过桥费、保险费等支出。截至2023年12月31日，淮北市畜牧中心开支财政拨款的公务用车保有量为0辆。</w:t>
      </w:r>
    </w:p>
    <w:p w:rsidR="006A2490" w:rsidRDefault="006A2490"/>
    <w:sectPr w:rsidR="006A2490" w:rsidSect="006A24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08EC"/>
    <w:rsid w:val="000577B3"/>
    <w:rsid w:val="003708EC"/>
    <w:rsid w:val="006A2490"/>
    <w:rsid w:val="008A0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8E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2024-09-26T01:44:00Z</dcterms:created>
  <dcterms:modified xsi:type="dcterms:W3CDTF">2024-12-19T02:10:00Z</dcterms:modified>
</cp:coreProperties>
</file>